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747B3" w14:textId="2DAE4FC6" w:rsidR="003E4A13" w:rsidRPr="005170BE" w:rsidRDefault="005170BE" w:rsidP="005170BE">
      <w:pPr>
        <w:jc w:val="center"/>
        <w:rPr>
          <w:b/>
          <w:bCs/>
          <w:u w:val="single"/>
        </w:rPr>
      </w:pPr>
      <w:r w:rsidRPr="005170BE">
        <w:rPr>
          <w:b/>
          <w:bCs/>
          <w:u w:val="single"/>
        </w:rPr>
        <w:t xml:space="preserve">Dorset Council Air Quality Management Area (AQMA) </w:t>
      </w:r>
      <w:r w:rsidR="00E336E8">
        <w:rPr>
          <w:b/>
          <w:bCs/>
          <w:u w:val="single"/>
        </w:rPr>
        <w:t>–</w:t>
      </w:r>
      <w:r w:rsidRPr="005170BE">
        <w:rPr>
          <w:b/>
          <w:bCs/>
          <w:u w:val="single"/>
        </w:rPr>
        <w:t xml:space="preserve"> </w:t>
      </w:r>
      <w:r w:rsidR="00E336E8">
        <w:rPr>
          <w:b/>
          <w:bCs/>
          <w:u w:val="single"/>
        </w:rPr>
        <w:t xml:space="preserve">Concise </w:t>
      </w:r>
      <w:r w:rsidRPr="005170BE">
        <w:rPr>
          <w:b/>
          <w:bCs/>
          <w:u w:val="single"/>
        </w:rPr>
        <w:t>Revocation Report</w:t>
      </w:r>
    </w:p>
    <w:p w14:paraId="0DFB87A3" w14:textId="77777777" w:rsidR="005170BE" w:rsidRDefault="005170BE"/>
    <w:p w14:paraId="6F3DE661" w14:textId="28BCBA4A" w:rsidR="00CF2158" w:rsidRPr="00B916A4" w:rsidRDefault="009663AA" w:rsidP="003C3135">
      <w:pPr>
        <w:jc w:val="both"/>
        <w:rPr>
          <w:b/>
          <w:bCs/>
          <w:u w:val="single"/>
        </w:rPr>
      </w:pPr>
      <w:r w:rsidRPr="00B916A4">
        <w:rPr>
          <w:b/>
          <w:bCs/>
          <w:u w:val="single"/>
        </w:rPr>
        <w:t>Execu</w:t>
      </w:r>
      <w:r w:rsidR="00CF2158" w:rsidRPr="00B916A4">
        <w:rPr>
          <w:b/>
          <w:bCs/>
          <w:u w:val="single"/>
        </w:rPr>
        <w:t>tive Summary</w:t>
      </w:r>
    </w:p>
    <w:p w14:paraId="607AAA06" w14:textId="157D7927" w:rsidR="000B2FED" w:rsidRDefault="000B2FED" w:rsidP="003C3135">
      <w:pPr>
        <w:jc w:val="both"/>
      </w:pPr>
      <w:r>
        <w:t>Dorset Council currently has two Air Quality Management Areas (AQMAs) in place, one located along the A35 at Chideock</w:t>
      </w:r>
      <w:r w:rsidR="007B0421">
        <w:t>,</w:t>
      </w:r>
      <w:r>
        <w:t xml:space="preserve"> and a second in High East Street, Dorchester. </w:t>
      </w:r>
    </w:p>
    <w:p w14:paraId="5BF4FA4F" w14:textId="5CD98AC9" w:rsidR="000B2FED" w:rsidRDefault="000B2FED" w:rsidP="003C3135">
      <w:pPr>
        <w:jc w:val="both"/>
      </w:pPr>
      <w:r>
        <w:t>Dorset Council is proposing to revoke the AQMA in High East Street, Dorchester. The revocation is deemed as appropriate by Defra, the regulating body.</w:t>
      </w:r>
    </w:p>
    <w:p w14:paraId="5CEB3B64" w14:textId="77777777" w:rsidR="002457C8" w:rsidRDefault="002457C8" w:rsidP="003C3135">
      <w:pPr>
        <w:jc w:val="both"/>
      </w:pPr>
      <w:r>
        <w:t xml:space="preserve">Revocation is a non-executive </w:t>
      </w:r>
      <w:proofErr w:type="gramStart"/>
      <w:r>
        <w:t>function</w:t>
      </w:r>
      <w:proofErr w:type="gramEnd"/>
      <w:r>
        <w:t xml:space="preserve"> and delegated authority is given to the Executive Lead for the Place Directorate. </w:t>
      </w:r>
    </w:p>
    <w:p w14:paraId="1AA6CE7A" w14:textId="6A9FA201" w:rsidR="002457C8" w:rsidRDefault="00B85F89" w:rsidP="003C3135">
      <w:pPr>
        <w:jc w:val="both"/>
      </w:pPr>
      <w:r>
        <w:t>Appropriate c</w:t>
      </w:r>
      <w:r w:rsidR="002457C8">
        <w:t>onsultation has already been carried out and the findings are set out below.</w:t>
      </w:r>
    </w:p>
    <w:p w14:paraId="530CF8AB" w14:textId="5D23DCB7" w:rsidR="002457C8" w:rsidRDefault="001D5A85" w:rsidP="003C3135">
      <w:pPr>
        <w:jc w:val="both"/>
      </w:pPr>
      <w:r w:rsidRPr="001D5A85">
        <w:t>If agreed, the decision will then be published, followed by the drafting and sealing of the Order.</w:t>
      </w:r>
    </w:p>
    <w:p w14:paraId="04D3A173" w14:textId="6F3DB2A8" w:rsidR="00DA5DA4" w:rsidRDefault="00DA5DA4" w:rsidP="003C3135">
      <w:pPr>
        <w:jc w:val="both"/>
      </w:pPr>
      <w:r>
        <w:t>This AQMA was declared in 2009 when the NO</w:t>
      </w:r>
      <w:r w:rsidRPr="008431EA">
        <w:rPr>
          <w:vertAlign w:val="subscript"/>
        </w:rPr>
        <w:t>2</w:t>
      </w:r>
      <w:r>
        <w:t xml:space="preserve"> annual mean was found to exceed 40µg/</w:t>
      </w:r>
      <w:r w:rsidR="003C3135">
        <w:t>m</w:t>
      </w:r>
      <w:r w:rsidR="003C3135" w:rsidRPr="008431EA">
        <w:rPr>
          <w:vertAlign w:val="superscript"/>
        </w:rPr>
        <w:t>3</w:t>
      </w:r>
      <w:r>
        <w:t xml:space="preserve">. An Air Quality Action Plan (AQAP) drawn up to improve the air quality in this area – the AQAP can be found </w:t>
      </w:r>
      <w:hyperlink r:id="rId4" w:history="1">
        <w:r w:rsidRPr="00160EFE">
          <w:rPr>
            <w:rStyle w:val="Hyperlink"/>
          </w:rPr>
          <w:t>here</w:t>
        </w:r>
      </w:hyperlink>
      <w:r w:rsidR="006A5C3F">
        <w:t>.</w:t>
      </w:r>
      <w:r>
        <w:t xml:space="preserve"> Since 2009 the NO</w:t>
      </w:r>
      <w:r w:rsidRPr="008431EA">
        <w:rPr>
          <w:vertAlign w:val="subscript"/>
        </w:rPr>
        <w:t>2</w:t>
      </w:r>
      <w:r>
        <w:t xml:space="preserve"> levels have generally declined in this management area.</w:t>
      </w:r>
    </w:p>
    <w:p w14:paraId="788F2DCA" w14:textId="5515439D" w:rsidR="00DA5DA4" w:rsidRDefault="00DA5DA4" w:rsidP="003C3135">
      <w:pPr>
        <w:jc w:val="both"/>
      </w:pPr>
      <w:r>
        <w:t>Since 2019 the NO</w:t>
      </w:r>
      <w:r w:rsidRPr="008431EA">
        <w:rPr>
          <w:vertAlign w:val="subscript"/>
        </w:rPr>
        <w:t>2</w:t>
      </w:r>
      <w:r>
        <w:t xml:space="preserve"> levels have been consistently below the objective, and in 2023 were found to be 28.2 µg/</w:t>
      </w:r>
      <w:r w:rsidR="003C3135">
        <w:t>m</w:t>
      </w:r>
      <w:r w:rsidR="003C3135" w:rsidRPr="008431EA">
        <w:rPr>
          <w:vertAlign w:val="superscript"/>
        </w:rPr>
        <w:t>3</w:t>
      </w:r>
      <w:r>
        <w:t>. DEFRA have agreed with Dorset Council that the air quality has significantly improved, and a revocation is appropriate.</w:t>
      </w:r>
      <w:r w:rsidR="000063E3">
        <w:t xml:space="preserve"> </w:t>
      </w:r>
    </w:p>
    <w:p w14:paraId="79307F9D" w14:textId="348AA234" w:rsidR="000063E3" w:rsidRDefault="000063E3" w:rsidP="003C3135">
      <w:pPr>
        <w:jc w:val="both"/>
      </w:pPr>
      <w:r>
        <w:t xml:space="preserve">This document summarises the current situation and </w:t>
      </w:r>
      <w:r w:rsidR="00B916A4">
        <w:t>makes a recommendation to revoke the 2009 order.</w:t>
      </w:r>
    </w:p>
    <w:p w14:paraId="24C6CBFD" w14:textId="77777777" w:rsidR="009663AA" w:rsidRDefault="009663AA" w:rsidP="003C3135">
      <w:pPr>
        <w:jc w:val="both"/>
      </w:pPr>
    </w:p>
    <w:p w14:paraId="4FA7874A" w14:textId="7359AADB" w:rsidR="003E4A13" w:rsidRPr="00B916A4" w:rsidRDefault="003C3135" w:rsidP="003C3135">
      <w:pPr>
        <w:jc w:val="both"/>
        <w:rPr>
          <w:b/>
          <w:bCs/>
          <w:u w:val="single"/>
        </w:rPr>
      </w:pPr>
      <w:r>
        <w:rPr>
          <w:b/>
          <w:bCs/>
          <w:u w:val="single"/>
        </w:rPr>
        <w:t>Background</w:t>
      </w:r>
    </w:p>
    <w:p w14:paraId="4F8D9800" w14:textId="27193006" w:rsidR="005170BE" w:rsidRPr="005170BE" w:rsidRDefault="005170BE" w:rsidP="003C3135">
      <w:pPr>
        <w:jc w:val="both"/>
      </w:pPr>
      <w:r w:rsidRPr="005170BE">
        <w:t>Part IV of the Environment Act 1995 (the Act) introduced the Local Air Quality Management regime that places a legal duty on local authorities to regularly review and assess air quality in their areas against Air Quality Strategy (AQS) objectives. The AQS objectives for England are set out in the Air Quality (England) Regulations 2000 and the Air Quality (England) (Amendment) Regulations 2002 and are available from the Defra UK AIR: Air Information Resource website.</w:t>
      </w:r>
    </w:p>
    <w:p w14:paraId="060D0D6C" w14:textId="03377C39" w:rsidR="005170BE" w:rsidRDefault="005170BE" w:rsidP="003C3135">
      <w:pPr>
        <w:jc w:val="both"/>
      </w:pPr>
      <w:r w:rsidRPr="005170BE">
        <w:t xml:space="preserve">Local authorities must declare an </w:t>
      </w:r>
      <w:r w:rsidR="00095AE7">
        <w:t>Air Quality Management Area (</w:t>
      </w:r>
      <w:r w:rsidRPr="005170BE">
        <w:t>AQMA</w:t>
      </w:r>
      <w:r w:rsidR="00095AE7">
        <w:t>)</w:t>
      </w:r>
      <w:r w:rsidRPr="005170BE">
        <w:t xml:space="preserve"> where any of the AQS objectives are exceeded and subsequently set out the measures they intend to put in place to secure compliance with the AQS objectives under an Air Quality Action Plan (AQAP). With effective implementation of the Action Plan and national policies aimed at </w:t>
      </w:r>
      <w:r w:rsidRPr="005170BE">
        <w:lastRenderedPageBreak/>
        <w:t xml:space="preserve">reducing the emission of pollutants it is expected that the air quality within AQMAs should improve to a point that concentrations will remain below the AQS objectives. </w:t>
      </w:r>
    </w:p>
    <w:p w14:paraId="52E6E740" w14:textId="77777777" w:rsidR="00761CAD" w:rsidRDefault="00761CAD" w:rsidP="003C3135">
      <w:pPr>
        <w:jc w:val="both"/>
      </w:pPr>
    </w:p>
    <w:p w14:paraId="322F54DF" w14:textId="24C6CFF4" w:rsidR="00761CAD" w:rsidRPr="00761CAD" w:rsidRDefault="00761CAD" w:rsidP="003C3135">
      <w:pPr>
        <w:jc w:val="both"/>
        <w:rPr>
          <w:b/>
          <w:bCs/>
          <w:u w:val="single"/>
        </w:rPr>
      </w:pPr>
      <w:r w:rsidRPr="00761CAD">
        <w:rPr>
          <w:b/>
          <w:bCs/>
          <w:u w:val="single"/>
        </w:rPr>
        <w:t>AQMA for High East Street, Dorchester</w:t>
      </w:r>
    </w:p>
    <w:p w14:paraId="5D0A19AC" w14:textId="2F45DA25" w:rsidR="003F4943" w:rsidRDefault="003F4943" w:rsidP="003C3135">
      <w:pPr>
        <w:jc w:val="both"/>
      </w:pPr>
      <w:r w:rsidRPr="003F4943">
        <w:t>The AQMA for High Street East, Dorchester was declared in 2009 by the former West Dorset District Council, when the NO</w:t>
      </w:r>
      <w:r w:rsidRPr="00FC3F10">
        <w:rPr>
          <w:vertAlign w:val="subscript"/>
        </w:rPr>
        <w:t>2</w:t>
      </w:r>
      <w:r w:rsidRPr="003F4943">
        <w:t xml:space="preserve"> annual mean was found to exceed 40µg/</w:t>
      </w:r>
      <w:r w:rsidR="003C3135">
        <w:t>m</w:t>
      </w:r>
      <w:r w:rsidR="003C3135" w:rsidRPr="008431EA">
        <w:rPr>
          <w:vertAlign w:val="superscript"/>
        </w:rPr>
        <w:t>3</w:t>
      </w:r>
      <w:r w:rsidRPr="003F4943">
        <w:t xml:space="preserve"> (See Appendix 1). The AQAP can be found </w:t>
      </w:r>
      <w:hyperlink r:id="rId5" w:history="1">
        <w:r w:rsidRPr="00C33E90">
          <w:rPr>
            <w:rStyle w:val="Hyperlink"/>
          </w:rPr>
          <w:t>here</w:t>
        </w:r>
      </w:hyperlink>
      <w:r w:rsidRPr="003F4943">
        <w:t>. Since 2009 the NO</w:t>
      </w:r>
      <w:r w:rsidRPr="00A0787D">
        <w:rPr>
          <w:vertAlign w:val="subscript"/>
        </w:rPr>
        <w:t>2</w:t>
      </w:r>
      <w:r w:rsidRPr="003F4943">
        <w:t xml:space="preserve"> levels have generally declined in this management area. This is due in part to the AQAP</w:t>
      </w:r>
      <w:proofErr w:type="gramStart"/>
      <w:r w:rsidRPr="003F4943">
        <w:t>, ,</w:t>
      </w:r>
      <w:proofErr w:type="gramEnd"/>
      <w:r w:rsidRPr="003F4943">
        <w:t xml:space="preserve"> improvements in emissions from combustion engines, and increased use of electric vehicles on the roads.</w:t>
      </w:r>
    </w:p>
    <w:p w14:paraId="6023B635" w14:textId="78862197" w:rsidR="003F4943" w:rsidRDefault="00623039" w:rsidP="003C3135">
      <w:pPr>
        <w:jc w:val="both"/>
      </w:pPr>
      <w:r w:rsidRPr="00623039">
        <w:t>As of 2019 the NO</w:t>
      </w:r>
      <w:r w:rsidRPr="008431EA">
        <w:rPr>
          <w:vertAlign w:val="subscript"/>
        </w:rPr>
        <w:t>2</w:t>
      </w:r>
      <w:r w:rsidRPr="00623039">
        <w:t xml:space="preserve"> levels have been consistently below the objective, and in 2023 was an annual mean of 28.2 µg/</w:t>
      </w:r>
      <w:r w:rsidR="003C3135">
        <w:t>m</w:t>
      </w:r>
      <w:r w:rsidR="003C3135" w:rsidRPr="008431EA">
        <w:rPr>
          <w:vertAlign w:val="superscript"/>
        </w:rPr>
        <w:t>3</w:t>
      </w:r>
      <w:r w:rsidRPr="00623039">
        <w:t>.</w:t>
      </w:r>
    </w:p>
    <w:p w14:paraId="6758E0A4" w14:textId="77777777" w:rsidR="00095AE7" w:rsidRPr="005170BE" w:rsidRDefault="00095AE7" w:rsidP="003C3135">
      <w:pPr>
        <w:jc w:val="both"/>
      </w:pPr>
    </w:p>
    <w:p w14:paraId="3EA59861" w14:textId="27ADD723" w:rsidR="005170BE" w:rsidRPr="00A05A1D" w:rsidRDefault="005170BE" w:rsidP="003C3135">
      <w:pPr>
        <w:jc w:val="both"/>
        <w:rPr>
          <w:b/>
          <w:bCs/>
          <w:u w:val="single"/>
        </w:rPr>
      </w:pPr>
      <w:r w:rsidRPr="00A05A1D">
        <w:rPr>
          <w:b/>
          <w:bCs/>
          <w:u w:val="single"/>
        </w:rPr>
        <w:t>Legal Framework for Revocation</w:t>
      </w:r>
    </w:p>
    <w:p w14:paraId="6853331E" w14:textId="17B9DD11" w:rsidR="00D75A59" w:rsidRDefault="00D75A59" w:rsidP="003C3135">
      <w:pPr>
        <w:jc w:val="both"/>
      </w:pPr>
      <w:r w:rsidRPr="00D75A59">
        <w:t>In September 2024 Dorset Council Environmental Protection consulted with Dorset Council’s legal team to establish the correct process for revocation of this order.</w:t>
      </w:r>
    </w:p>
    <w:p w14:paraId="4439A621" w14:textId="64E030C4" w:rsidR="00847B7F" w:rsidRDefault="00071818" w:rsidP="003C3135">
      <w:pPr>
        <w:jc w:val="both"/>
      </w:pPr>
      <w:r>
        <w:t>Revocation</w:t>
      </w:r>
      <w:r w:rsidR="00847B7F">
        <w:t xml:space="preserve"> is a </w:t>
      </w:r>
      <w:r w:rsidR="00F47D4B">
        <w:t>‘</w:t>
      </w:r>
      <w:r w:rsidR="00F47D4B" w:rsidRPr="00F47D4B">
        <w:t>local choice function’</w:t>
      </w:r>
      <w:r w:rsidR="00FA0351">
        <w:t xml:space="preserve">: </w:t>
      </w:r>
      <w:r w:rsidR="00F47D4B" w:rsidRPr="00F47D4B">
        <w:t>the Council can choose whether it is a decision for the executive (Cabinet</w:t>
      </w:r>
      <w:r w:rsidR="00BE305B">
        <w:t xml:space="preserve"> </w:t>
      </w:r>
      <w:r w:rsidR="00F47D4B" w:rsidRPr="00F47D4B">
        <w:t>/</w:t>
      </w:r>
      <w:r w:rsidR="00BE305B">
        <w:t xml:space="preserve"> </w:t>
      </w:r>
      <w:r w:rsidR="00F47D4B" w:rsidRPr="00F47D4B">
        <w:t>Cabinet member) or non-executive (Full Council</w:t>
      </w:r>
      <w:r w:rsidR="001D652E">
        <w:t xml:space="preserve"> </w:t>
      </w:r>
      <w:r w:rsidR="00F47D4B" w:rsidRPr="00F47D4B">
        <w:t>/</w:t>
      </w:r>
      <w:r w:rsidR="001D652E">
        <w:t xml:space="preserve"> </w:t>
      </w:r>
      <w:r w:rsidR="00F47D4B" w:rsidRPr="00F47D4B">
        <w:t>Committee</w:t>
      </w:r>
      <w:r w:rsidR="001D652E">
        <w:t xml:space="preserve"> </w:t>
      </w:r>
      <w:r w:rsidR="00F47D4B" w:rsidRPr="00F47D4B">
        <w:t>/</w:t>
      </w:r>
      <w:r w:rsidR="001D652E">
        <w:t xml:space="preserve"> </w:t>
      </w:r>
      <w:r w:rsidR="00F47D4B" w:rsidRPr="00F47D4B">
        <w:t xml:space="preserve">Officer) to make. In the Council’s Constitution at ‘Part 3 Scheme of Delegation - Functions of the Council’, the responsibility for this function has been classed as a non-executive function (not a function of the Cabinet) and delegated authority has been given to the Executive Lead for the Place Directorate. </w:t>
      </w:r>
    </w:p>
    <w:p w14:paraId="6050891B" w14:textId="6D7F24D2" w:rsidR="006110B9" w:rsidRDefault="004D3826" w:rsidP="003C3135">
      <w:pPr>
        <w:jc w:val="both"/>
      </w:pPr>
      <w:r w:rsidRPr="004D3826">
        <w:t>There is also a delegation to any other Officer to such extent as may be provided for in the Officer Scheme of Delegation – Part 3(ii) of the Constitution</w:t>
      </w:r>
      <w:r w:rsidR="00957E50">
        <w:t>.</w:t>
      </w:r>
      <w:r>
        <w:t xml:space="preserve"> </w:t>
      </w:r>
      <w:r w:rsidR="007D7A91">
        <w:t>However,</w:t>
      </w:r>
      <w:r>
        <w:t xml:space="preserve"> </w:t>
      </w:r>
      <w:r w:rsidR="00957E50">
        <w:t xml:space="preserve">there is no record of </w:t>
      </w:r>
      <w:r w:rsidRPr="004D3826">
        <w:t>any delegation to other officers.</w:t>
      </w:r>
    </w:p>
    <w:p w14:paraId="1C3F3318" w14:textId="7C5BE316" w:rsidR="00DD51B7" w:rsidRDefault="001E266E" w:rsidP="003C3135">
      <w:pPr>
        <w:jc w:val="both"/>
      </w:pPr>
      <w:r>
        <w:t>T</w:t>
      </w:r>
      <w:r w:rsidRPr="001E266E">
        <w:t>herefore</w:t>
      </w:r>
      <w:r>
        <w:t xml:space="preserve">, this report </w:t>
      </w:r>
      <w:r w:rsidR="00240CDD">
        <w:t xml:space="preserve">is for the </w:t>
      </w:r>
      <w:r w:rsidRPr="001E266E">
        <w:t xml:space="preserve">Executive Lead for the Place Directorate asking </w:t>
      </w:r>
      <w:r w:rsidR="00240CDD">
        <w:t>them to revoke the</w:t>
      </w:r>
      <w:r w:rsidRPr="001E266E">
        <w:t xml:space="preserve"> Order</w:t>
      </w:r>
      <w:r w:rsidR="00240CDD">
        <w:t>.</w:t>
      </w:r>
      <w:r w:rsidR="00161862">
        <w:t xml:space="preserve"> Once the decision has been made to </w:t>
      </w:r>
      <w:r w:rsidR="007A6FDD">
        <w:t>revoke</w:t>
      </w:r>
      <w:r w:rsidR="00161862">
        <w:t xml:space="preserve"> the order</w:t>
      </w:r>
      <w:r w:rsidR="007A6FDD">
        <w:t>,</w:t>
      </w:r>
      <w:r w:rsidR="00161862">
        <w:t xml:space="preserve"> the Legal Team can seal it.</w:t>
      </w:r>
      <w:r w:rsidR="005D455E">
        <w:t xml:space="preserve"> </w:t>
      </w:r>
    </w:p>
    <w:p w14:paraId="08977F19" w14:textId="77777777" w:rsidR="005170BE" w:rsidRDefault="005170BE" w:rsidP="003C3135">
      <w:pPr>
        <w:jc w:val="both"/>
      </w:pPr>
    </w:p>
    <w:p w14:paraId="336061DA" w14:textId="77777777" w:rsidR="005D3E52" w:rsidRDefault="005D3E52" w:rsidP="003C3135">
      <w:pPr>
        <w:jc w:val="both"/>
      </w:pPr>
    </w:p>
    <w:p w14:paraId="26A9AE79" w14:textId="77777777" w:rsidR="00524987" w:rsidRDefault="00524987" w:rsidP="003C3135">
      <w:pPr>
        <w:jc w:val="both"/>
      </w:pPr>
    </w:p>
    <w:p w14:paraId="61199908" w14:textId="77777777" w:rsidR="003C3135" w:rsidRDefault="003C3135" w:rsidP="003C3135">
      <w:pPr>
        <w:jc w:val="both"/>
      </w:pPr>
    </w:p>
    <w:p w14:paraId="17BBBAAC" w14:textId="77777777" w:rsidR="005D3E52" w:rsidRDefault="00902910" w:rsidP="003C3135">
      <w:pPr>
        <w:jc w:val="both"/>
        <w:rPr>
          <w:b/>
          <w:bCs/>
        </w:rPr>
      </w:pPr>
      <w:r>
        <w:rPr>
          <w:b/>
          <w:bCs/>
        </w:rPr>
        <w:br/>
      </w:r>
    </w:p>
    <w:p w14:paraId="4D207F03" w14:textId="1396B573" w:rsidR="00F76BAE" w:rsidRDefault="00F76BAE" w:rsidP="003C3135">
      <w:pPr>
        <w:jc w:val="both"/>
        <w:rPr>
          <w:b/>
          <w:bCs/>
        </w:rPr>
      </w:pPr>
      <w:r w:rsidRPr="00F76BAE">
        <w:rPr>
          <w:b/>
          <w:bCs/>
        </w:rPr>
        <w:lastRenderedPageBreak/>
        <w:t>Dorset Council’s Air Quality Annual Status Report</w:t>
      </w:r>
    </w:p>
    <w:p w14:paraId="6E9D8804" w14:textId="69B1F501" w:rsidR="00F50F8F" w:rsidRDefault="00F50F8F" w:rsidP="003C3135">
      <w:pPr>
        <w:spacing w:line="240" w:lineRule="auto"/>
        <w:jc w:val="both"/>
      </w:pPr>
      <w:r>
        <w:t xml:space="preserve">Each year Dorset Council produces an Annual Status Report (ASR), summarising </w:t>
      </w:r>
      <w:r w:rsidR="00972DD0">
        <w:t xml:space="preserve">our </w:t>
      </w:r>
      <w:r>
        <w:t xml:space="preserve">monitoring data, detailing the strategies employed to improve air quality and report on any progress that has been made. Dorset Councils ASRs can be found </w:t>
      </w:r>
      <w:hyperlink r:id="rId6">
        <w:r w:rsidRPr="7DE5E003">
          <w:rPr>
            <w:rStyle w:val="Hyperlink"/>
          </w:rPr>
          <w:t>here</w:t>
        </w:r>
      </w:hyperlink>
      <w:r>
        <w:t xml:space="preserve"> on our website. </w:t>
      </w:r>
    </w:p>
    <w:p w14:paraId="41C789AB" w14:textId="33425581" w:rsidR="005170BE" w:rsidRDefault="00E122CB" w:rsidP="003C3135">
      <w:pPr>
        <w:jc w:val="both"/>
      </w:pPr>
      <w:r>
        <w:t>The report is scrutinised by DEFRA</w:t>
      </w:r>
      <w:r w:rsidR="00FD71C4">
        <w:t>. In July 2023</w:t>
      </w:r>
      <w:r w:rsidR="00B8270D">
        <w:t>,</w:t>
      </w:r>
      <w:r w:rsidR="00FD71C4">
        <w:t xml:space="preserve"> </w:t>
      </w:r>
      <w:r w:rsidR="00B8270D">
        <w:t>in</w:t>
      </w:r>
      <w:r w:rsidR="00DE4B9A">
        <w:t xml:space="preserve"> DEFRAs appraisal report</w:t>
      </w:r>
      <w:r w:rsidR="00B8270D">
        <w:t>,</w:t>
      </w:r>
      <w:r w:rsidR="00DE4B9A">
        <w:t xml:space="preserve"> they stated</w:t>
      </w:r>
    </w:p>
    <w:p w14:paraId="6BE60C08" w14:textId="4B607B29" w:rsidR="00DE4B9A" w:rsidRDefault="00DE4B9A" w:rsidP="003C3135">
      <w:pPr>
        <w:jc w:val="both"/>
        <w:rPr>
          <w:i/>
          <w:iCs/>
        </w:rPr>
      </w:pPr>
      <w:r w:rsidRPr="00374171">
        <w:rPr>
          <w:i/>
          <w:iCs/>
        </w:rPr>
        <w:t>“</w:t>
      </w:r>
      <w:r w:rsidR="00374171" w:rsidRPr="00374171">
        <w:rPr>
          <w:i/>
          <w:iCs/>
        </w:rPr>
        <w:t xml:space="preserve">The revocation of an AQMA should be considered following three consecutive years of compliance with the relevant objective as evidenced through monitoring. Where there have been no exceedances for the past five years, local authorities must proceed with plans to revoke the AQMA.  AQMAs should identify areas where air quality objectives are not being met or are likely to be at risk of not meeting them. </w:t>
      </w:r>
      <w:r w:rsidR="00374171" w:rsidRPr="00CE4D4E">
        <w:rPr>
          <w:b/>
          <w:bCs/>
          <w:i/>
          <w:iCs/>
        </w:rPr>
        <w:t>Keeping AQMAs in place longer than required risks diluting their meaning and impacting public trust in LAQM</w:t>
      </w:r>
      <w:r w:rsidR="00374171" w:rsidRPr="00374171">
        <w:rPr>
          <w:i/>
          <w:iCs/>
        </w:rPr>
        <w:t>. Whilst Chideock AQMA still reports exceedances of the NO</w:t>
      </w:r>
      <w:r w:rsidR="00374171" w:rsidRPr="00FC3F10">
        <w:rPr>
          <w:i/>
          <w:iCs/>
          <w:vertAlign w:val="subscript"/>
        </w:rPr>
        <w:t>2</w:t>
      </w:r>
      <w:r w:rsidR="00374171" w:rsidRPr="00374171">
        <w:rPr>
          <w:i/>
          <w:iCs/>
        </w:rPr>
        <w:t xml:space="preserve"> AQS objective value, </w:t>
      </w:r>
      <w:r w:rsidR="00374171" w:rsidRPr="00374171">
        <w:rPr>
          <w:b/>
          <w:bCs/>
          <w:i/>
          <w:iCs/>
        </w:rPr>
        <w:t>Dorchester AQMA has been compliant for 4 years</w:t>
      </w:r>
      <w:r w:rsidR="00374171" w:rsidRPr="00374171">
        <w:rPr>
          <w:i/>
          <w:iCs/>
        </w:rPr>
        <w:t>.”</w:t>
      </w:r>
    </w:p>
    <w:tbl>
      <w:tblPr>
        <w:tblStyle w:val="DefraGreen"/>
        <w:tblpPr w:leftFromText="180" w:rightFromText="180" w:vertAnchor="text" w:horzAnchor="margin" w:tblpY="214"/>
        <w:tblW w:w="8110" w:type="dxa"/>
        <w:tblLook w:val="04A0" w:firstRow="1" w:lastRow="0" w:firstColumn="1" w:lastColumn="0" w:noHBand="0" w:noVBand="1"/>
      </w:tblPr>
      <w:tblGrid>
        <w:gridCol w:w="3915"/>
        <w:gridCol w:w="839"/>
        <w:gridCol w:w="839"/>
        <w:gridCol w:w="839"/>
        <w:gridCol w:w="839"/>
        <w:gridCol w:w="839"/>
      </w:tblGrid>
      <w:tr w:rsidR="001D6A81" w14:paraId="49DBA867" w14:textId="77777777" w:rsidTr="001D6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5" w:type="dxa"/>
            <w:hideMark/>
          </w:tcPr>
          <w:p w14:paraId="262BA75B" w14:textId="77777777" w:rsidR="001D6A81" w:rsidRDefault="001D6A81" w:rsidP="003C3135">
            <w:pPr>
              <w:jc w:val="both"/>
              <w:rPr>
                <w:sz w:val="20"/>
              </w:rPr>
            </w:pPr>
            <w:r>
              <w:rPr>
                <w:bCs/>
                <w:iCs/>
              </w:rPr>
              <w:br w:type="page"/>
            </w:r>
            <w:r>
              <w:rPr>
                <w:b/>
              </w:rPr>
              <w:t>Location</w:t>
            </w:r>
          </w:p>
        </w:tc>
        <w:tc>
          <w:tcPr>
            <w:tcW w:w="839" w:type="dxa"/>
            <w:hideMark/>
          </w:tcPr>
          <w:p w14:paraId="73C00F05" w14:textId="77777777" w:rsidR="001D6A81" w:rsidRDefault="001D6A81" w:rsidP="003C3135">
            <w:pPr>
              <w:jc w:val="both"/>
              <w:cnfStyle w:val="100000000000" w:firstRow="1" w:lastRow="0" w:firstColumn="0" w:lastColumn="0" w:oddVBand="0" w:evenVBand="0" w:oddHBand="0" w:evenHBand="0" w:firstRowFirstColumn="0" w:firstRowLastColumn="0" w:lastRowFirstColumn="0" w:lastRowLastColumn="0"/>
              <w:rPr>
                <w:b/>
              </w:rPr>
            </w:pPr>
            <w:r>
              <w:rPr>
                <w:b/>
              </w:rPr>
              <w:t>2019</w:t>
            </w:r>
          </w:p>
        </w:tc>
        <w:tc>
          <w:tcPr>
            <w:tcW w:w="839" w:type="dxa"/>
          </w:tcPr>
          <w:p w14:paraId="2A0D1F2A" w14:textId="77777777" w:rsidR="001D6A81" w:rsidRDefault="001D6A81" w:rsidP="003C3135">
            <w:pPr>
              <w:jc w:val="both"/>
              <w:cnfStyle w:val="100000000000" w:firstRow="1" w:lastRow="0" w:firstColumn="0" w:lastColumn="0" w:oddVBand="0" w:evenVBand="0" w:oddHBand="0" w:evenHBand="0" w:firstRowFirstColumn="0" w:firstRowLastColumn="0" w:lastRowFirstColumn="0" w:lastRowLastColumn="0"/>
              <w:rPr>
                <w:b/>
              </w:rPr>
            </w:pPr>
            <w:r>
              <w:rPr>
                <w:b/>
              </w:rPr>
              <w:t>2020</w:t>
            </w:r>
          </w:p>
        </w:tc>
        <w:tc>
          <w:tcPr>
            <w:tcW w:w="839" w:type="dxa"/>
          </w:tcPr>
          <w:p w14:paraId="54715AE9" w14:textId="77777777" w:rsidR="001D6A81" w:rsidRDefault="001D6A81" w:rsidP="003C3135">
            <w:pPr>
              <w:jc w:val="both"/>
              <w:cnfStyle w:val="100000000000" w:firstRow="1" w:lastRow="0" w:firstColumn="0" w:lastColumn="0" w:oddVBand="0" w:evenVBand="0" w:oddHBand="0" w:evenHBand="0" w:firstRowFirstColumn="0" w:firstRowLastColumn="0" w:lastRowFirstColumn="0" w:lastRowLastColumn="0"/>
              <w:rPr>
                <w:b/>
              </w:rPr>
            </w:pPr>
            <w:r>
              <w:rPr>
                <w:b/>
              </w:rPr>
              <w:t>2021</w:t>
            </w:r>
          </w:p>
        </w:tc>
        <w:tc>
          <w:tcPr>
            <w:tcW w:w="839" w:type="dxa"/>
          </w:tcPr>
          <w:p w14:paraId="1BB96F85" w14:textId="77777777" w:rsidR="001D6A81" w:rsidRDefault="001D6A81" w:rsidP="003C3135">
            <w:pPr>
              <w:jc w:val="both"/>
              <w:cnfStyle w:val="100000000000" w:firstRow="1" w:lastRow="0" w:firstColumn="0" w:lastColumn="0" w:oddVBand="0" w:evenVBand="0" w:oddHBand="0" w:evenHBand="0" w:firstRowFirstColumn="0" w:firstRowLastColumn="0" w:lastRowFirstColumn="0" w:lastRowLastColumn="0"/>
              <w:rPr>
                <w:b/>
              </w:rPr>
            </w:pPr>
            <w:r>
              <w:rPr>
                <w:b/>
              </w:rPr>
              <w:t>2022</w:t>
            </w:r>
          </w:p>
        </w:tc>
        <w:tc>
          <w:tcPr>
            <w:tcW w:w="839" w:type="dxa"/>
          </w:tcPr>
          <w:p w14:paraId="33F7F0BF" w14:textId="77777777" w:rsidR="001D6A81" w:rsidRDefault="001D6A81" w:rsidP="003C3135">
            <w:pPr>
              <w:jc w:val="both"/>
              <w:cnfStyle w:val="100000000000" w:firstRow="1" w:lastRow="0" w:firstColumn="0" w:lastColumn="0" w:oddVBand="0" w:evenVBand="0" w:oddHBand="0" w:evenHBand="0" w:firstRowFirstColumn="0" w:firstRowLastColumn="0" w:lastRowFirstColumn="0" w:lastRowLastColumn="0"/>
              <w:rPr>
                <w:b/>
              </w:rPr>
            </w:pPr>
            <w:r>
              <w:rPr>
                <w:b/>
              </w:rPr>
              <w:t>2023</w:t>
            </w:r>
          </w:p>
        </w:tc>
      </w:tr>
      <w:tr w:rsidR="001D6A81" w14:paraId="5F818702" w14:textId="77777777" w:rsidTr="001D6A81">
        <w:tc>
          <w:tcPr>
            <w:cnfStyle w:val="001000000000" w:firstRow="0" w:lastRow="0" w:firstColumn="1" w:lastColumn="0" w:oddVBand="0" w:evenVBand="0" w:oddHBand="0" w:evenHBand="0" w:firstRowFirstColumn="0" w:firstRowLastColumn="0" w:lastRowFirstColumn="0" w:lastRowLastColumn="0"/>
            <w:tcW w:w="3915" w:type="dxa"/>
            <w:hideMark/>
          </w:tcPr>
          <w:p w14:paraId="0AD8492B" w14:textId="77777777" w:rsidR="001D6A81" w:rsidRDefault="001D6A81" w:rsidP="003C3135">
            <w:pPr>
              <w:jc w:val="both"/>
              <w:rPr>
                <w:b/>
              </w:rPr>
            </w:pPr>
            <w:r>
              <w:rPr>
                <w:b/>
              </w:rPr>
              <w:t>High East Street 2 (W17)</w:t>
            </w:r>
          </w:p>
        </w:tc>
        <w:tc>
          <w:tcPr>
            <w:tcW w:w="839" w:type="dxa"/>
            <w:hideMark/>
          </w:tcPr>
          <w:p w14:paraId="267BB09E"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24.8</w:t>
            </w:r>
          </w:p>
        </w:tc>
        <w:tc>
          <w:tcPr>
            <w:tcW w:w="839" w:type="dxa"/>
          </w:tcPr>
          <w:p w14:paraId="72336780"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17.2</w:t>
            </w:r>
          </w:p>
        </w:tc>
        <w:tc>
          <w:tcPr>
            <w:tcW w:w="839" w:type="dxa"/>
          </w:tcPr>
          <w:p w14:paraId="39168BFE"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17.3</w:t>
            </w:r>
          </w:p>
        </w:tc>
        <w:tc>
          <w:tcPr>
            <w:tcW w:w="839" w:type="dxa"/>
          </w:tcPr>
          <w:p w14:paraId="310557BB"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24.0</w:t>
            </w:r>
          </w:p>
        </w:tc>
        <w:tc>
          <w:tcPr>
            <w:tcW w:w="839" w:type="dxa"/>
          </w:tcPr>
          <w:p w14:paraId="35036D36"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23.8</w:t>
            </w:r>
          </w:p>
        </w:tc>
      </w:tr>
      <w:tr w:rsidR="001D6A81" w14:paraId="23F9918B" w14:textId="77777777" w:rsidTr="001D6A81">
        <w:tc>
          <w:tcPr>
            <w:cnfStyle w:val="001000000000" w:firstRow="0" w:lastRow="0" w:firstColumn="1" w:lastColumn="0" w:oddVBand="0" w:evenVBand="0" w:oddHBand="0" w:evenHBand="0" w:firstRowFirstColumn="0" w:firstRowLastColumn="0" w:lastRowFirstColumn="0" w:lastRowLastColumn="0"/>
            <w:tcW w:w="3915" w:type="dxa"/>
            <w:hideMark/>
          </w:tcPr>
          <w:p w14:paraId="07254221" w14:textId="77777777" w:rsidR="001D6A81" w:rsidRDefault="001D6A81" w:rsidP="003C3135">
            <w:pPr>
              <w:jc w:val="both"/>
            </w:pPr>
            <w:r>
              <w:rPr>
                <w:b/>
              </w:rPr>
              <w:t>High East Street 1 (W18)</w:t>
            </w:r>
          </w:p>
        </w:tc>
        <w:tc>
          <w:tcPr>
            <w:tcW w:w="839" w:type="dxa"/>
            <w:hideMark/>
          </w:tcPr>
          <w:p w14:paraId="3B669CC4" w14:textId="77777777" w:rsidR="001D6A81" w:rsidRPr="008C5364" w:rsidRDefault="001D6A81" w:rsidP="003C3135">
            <w:pPr>
              <w:jc w:val="both"/>
              <w:cnfStyle w:val="000000000000" w:firstRow="0" w:lastRow="0" w:firstColumn="0" w:lastColumn="0" w:oddVBand="0" w:evenVBand="0" w:oddHBand="0" w:evenHBand="0" w:firstRowFirstColumn="0" w:firstRowLastColumn="0" w:lastRowFirstColumn="0" w:lastRowLastColumn="0"/>
              <w:rPr>
                <w:b/>
                <w:bCs/>
              </w:rPr>
            </w:pPr>
            <w:r w:rsidRPr="008C5364">
              <w:rPr>
                <w:b/>
                <w:bCs/>
              </w:rPr>
              <w:t>36.4</w:t>
            </w:r>
          </w:p>
        </w:tc>
        <w:tc>
          <w:tcPr>
            <w:tcW w:w="839" w:type="dxa"/>
          </w:tcPr>
          <w:p w14:paraId="6A98EE8E"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23.6</w:t>
            </w:r>
          </w:p>
        </w:tc>
        <w:tc>
          <w:tcPr>
            <w:tcW w:w="839" w:type="dxa"/>
          </w:tcPr>
          <w:p w14:paraId="0804B83F"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21.3</w:t>
            </w:r>
          </w:p>
        </w:tc>
        <w:tc>
          <w:tcPr>
            <w:tcW w:w="839" w:type="dxa"/>
          </w:tcPr>
          <w:p w14:paraId="381D09A0"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32.1</w:t>
            </w:r>
          </w:p>
        </w:tc>
        <w:tc>
          <w:tcPr>
            <w:tcW w:w="839" w:type="dxa"/>
          </w:tcPr>
          <w:p w14:paraId="4D071691"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28.2</w:t>
            </w:r>
          </w:p>
        </w:tc>
      </w:tr>
      <w:tr w:rsidR="001D6A81" w14:paraId="67D4263B" w14:textId="77777777" w:rsidTr="001D6A81">
        <w:tc>
          <w:tcPr>
            <w:cnfStyle w:val="001000000000" w:firstRow="0" w:lastRow="0" w:firstColumn="1" w:lastColumn="0" w:oddVBand="0" w:evenVBand="0" w:oddHBand="0" w:evenHBand="0" w:firstRowFirstColumn="0" w:firstRowLastColumn="0" w:lastRowFirstColumn="0" w:lastRowLastColumn="0"/>
            <w:tcW w:w="3915" w:type="dxa"/>
          </w:tcPr>
          <w:p w14:paraId="3851454F" w14:textId="77777777" w:rsidR="001D6A81" w:rsidRPr="00FB2D72" w:rsidRDefault="001D6A81" w:rsidP="003C3135">
            <w:pPr>
              <w:jc w:val="both"/>
              <w:rPr>
                <w:b/>
                <w:bCs/>
              </w:rPr>
            </w:pPr>
            <w:r w:rsidRPr="00FB2D72">
              <w:rPr>
                <w:b/>
                <w:bCs/>
              </w:rPr>
              <w:t>High West Street (W25)</w:t>
            </w:r>
          </w:p>
        </w:tc>
        <w:tc>
          <w:tcPr>
            <w:tcW w:w="839" w:type="dxa"/>
          </w:tcPr>
          <w:p w14:paraId="20DCA9F0"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27.0</w:t>
            </w:r>
          </w:p>
        </w:tc>
        <w:tc>
          <w:tcPr>
            <w:tcW w:w="839" w:type="dxa"/>
          </w:tcPr>
          <w:p w14:paraId="4C70258B"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18.8</w:t>
            </w:r>
          </w:p>
        </w:tc>
        <w:tc>
          <w:tcPr>
            <w:tcW w:w="839" w:type="dxa"/>
          </w:tcPr>
          <w:p w14:paraId="055D18AC"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18.5</w:t>
            </w:r>
          </w:p>
        </w:tc>
        <w:tc>
          <w:tcPr>
            <w:tcW w:w="839" w:type="dxa"/>
          </w:tcPr>
          <w:p w14:paraId="5F88236C"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27.7</w:t>
            </w:r>
          </w:p>
        </w:tc>
        <w:tc>
          <w:tcPr>
            <w:tcW w:w="839" w:type="dxa"/>
          </w:tcPr>
          <w:p w14:paraId="04C3D522" w14:textId="77777777" w:rsidR="001D6A81" w:rsidRDefault="001D6A81" w:rsidP="003C3135">
            <w:pPr>
              <w:jc w:val="both"/>
              <w:cnfStyle w:val="000000000000" w:firstRow="0" w:lastRow="0" w:firstColumn="0" w:lastColumn="0" w:oddVBand="0" w:evenVBand="0" w:oddHBand="0" w:evenHBand="0" w:firstRowFirstColumn="0" w:firstRowLastColumn="0" w:lastRowFirstColumn="0" w:lastRowLastColumn="0"/>
            </w:pPr>
            <w:r>
              <w:t>20.9</w:t>
            </w:r>
          </w:p>
        </w:tc>
      </w:tr>
    </w:tbl>
    <w:p w14:paraId="0E45A29D" w14:textId="439B1A62" w:rsidR="00CE4D4E" w:rsidRDefault="00CE4D4E" w:rsidP="003C3135">
      <w:pPr>
        <w:jc w:val="both"/>
      </w:pPr>
    </w:p>
    <w:p w14:paraId="12C06D3F" w14:textId="77777777" w:rsidR="00971EFB" w:rsidRDefault="00971EFB" w:rsidP="003C3135">
      <w:pPr>
        <w:jc w:val="both"/>
      </w:pPr>
    </w:p>
    <w:p w14:paraId="47EE510D" w14:textId="77777777" w:rsidR="00971EFB" w:rsidRDefault="00971EFB" w:rsidP="003C3135">
      <w:pPr>
        <w:jc w:val="both"/>
      </w:pPr>
    </w:p>
    <w:p w14:paraId="7E3649A7" w14:textId="77777777" w:rsidR="00971EFB" w:rsidRDefault="00971EFB" w:rsidP="003C3135">
      <w:pPr>
        <w:jc w:val="both"/>
      </w:pPr>
    </w:p>
    <w:p w14:paraId="593FD20F" w14:textId="11E2C48D" w:rsidR="001D6A81" w:rsidRPr="001D6A81" w:rsidRDefault="001D6A81" w:rsidP="003C3135">
      <w:pPr>
        <w:jc w:val="both"/>
        <w:rPr>
          <w:sz w:val="20"/>
          <w:szCs w:val="20"/>
        </w:rPr>
      </w:pPr>
      <w:r w:rsidRPr="001D6A81">
        <w:rPr>
          <w:sz w:val="20"/>
          <w:szCs w:val="20"/>
        </w:rPr>
        <w:t>The Table above shows the Annual Mean concentration of NO</w:t>
      </w:r>
      <w:r w:rsidRPr="00FC3F10">
        <w:rPr>
          <w:sz w:val="20"/>
          <w:szCs w:val="20"/>
          <w:vertAlign w:val="subscript"/>
        </w:rPr>
        <w:t>2</w:t>
      </w:r>
      <w:r w:rsidRPr="001D6A81">
        <w:rPr>
          <w:sz w:val="20"/>
          <w:szCs w:val="20"/>
        </w:rPr>
        <w:t xml:space="preserve"> within Dorchester AQMA.</w:t>
      </w:r>
    </w:p>
    <w:p w14:paraId="0EB7654E" w14:textId="77777777" w:rsidR="001D6A81" w:rsidRDefault="001D6A81" w:rsidP="003C3135">
      <w:pPr>
        <w:jc w:val="both"/>
      </w:pPr>
    </w:p>
    <w:p w14:paraId="7A91039C" w14:textId="06432668" w:rsidR="009A58AD" w:rsidRDefault="009A58AD" w:rsidP="003C3135">
      <w:pPr>
        <w:jc w:val="both"/>
      </w:pPr>
      <w:r w:rsidRPr="009A58AD">
        <w:t>The last full set of results for 2023 in Dorchester show the annual mean for NO</w:t>
      </w:r>
      <w:r w:rsidR="00A854D9" w:rsidRPr="00A854D9">
        <w:rPr>
          <w:vertAlign w:val="subscript"/>
        </w:rPr>
        <w:t>2</w:t>
      </w:r>
      <w:r w:rsidRPr="009A58AD">
        <w:t xml:space="preserve"> at all monitoring locations both within and outside of the AQMA were far below the mean objective of 40µg/</w:t>
      </w:r>
      <w:r w:rsidR="003C3135">
        <w:t>m</w:t>
      </w:r>
      <w:r w:rsidR="003C3135" w:rsidRPr="003E7D74">
        <w:rPr>
          <w:vertAlign w:val="superscript"/>
        </w:rPr>
        <w:t>3</w:t>
      </w:r>
      <w:r w:rsidRPr="009A58AD">
        <w:t>, with no sites have concentrations within 10% of this annual mean objective.</w:t>
      </w:r>
    </w:p>
    <w:p w14:paraId="121EF2B3" w14:textId="77777777" w:rsidR="00451F4D" w:rsidRDefault="00451F4D" w:rsidP="003C3135">
      <w:pPr>
        <w:spacing w:line="240" w:lineRule="auto"/>
        <w:jc w:val="both"/>
      </w:pPr>
      <w:r>
        <w:t xml:space="preserve">The 2023 concentrations are still an increase on 2020 and 2021 levels (which were distorted as there were less cars on the roads due to COVID restrictions) but remain below 2022 and 2019 concentrations indicating a downward trend. </w:t>
      </w:r>
    </w:p>
    <w:p w14:paraId="48517A8B" w14:textId="77777777" w:rsidR="00451F4D" w:rsidRDefault="00451F4D" w:rsidP="003C3135">
      <w:pPr>
        <w:spacing w:line="240" w:lineRule="auto"/>
        <w:jc w:val="both"/>
      </w:pPr>
      <w:r>
        <w:t>Even if this revocation is agreed, we will continue to monitor for concentration of NO</w:t>
      </w:r>
      <w:r w:rsidRPr="7DE5E003">
        <w:rPr>
          <w:vertAlign w:val="subscript"/>
        </w:rPr>
        <w:t xml:space="preserve">2 </w:t>
      </w:r>
      <w:r>
        <w:t xml:space="preserve">during 2024 for locations W17, W18 and W25. This is considered best </w:t>
      </w:r>
      <w:proofErr w:type="gramStart"/>
      <w:r>
        <w:t>practice, and</w:t>
      </w:r>
      <w:proofErr w:type="gramEnd"/>
      <w:r>
        <w:t xml:space="preserve"> will give further evidence should the decision to revoke be questioned at a later date.</w:t>
      </w:r>
    </w:p>
    <w:p w14:paraId="19DA7285" w14:textId="77777777" w:rsidR="00451F4D" w:rsidRDefault="00451F4D" w:rsidP="003C3135">
      <w:pPr>
        <w:jc w:val="both"/>
      </w:pPr>
    </w:p>
    <w:p w14:paraId="70316A0D" w14:textId="77777777" w:rsidR="00451F4D" w:rsidRDefault="00451F4D" w:rsidP="003C3135">
      <w:pPr>
        <w:jc w:val="both"/>
      </w:pPr>
    </w:p>
    <w:p w14:paraId="5926323C" w14:textId="77777777" w:rsidR="002F16FA" w:rsidRDefault="002F16FA" w:rsidP="003C3135">
      <w:pPr>
        <w:jc w:val="both"/>
        <w:rPr>
          <w:i/>
          <w:iCs/>
          <w:szCs w:val="20"/>
        </w:rPr>
      </w:pPr>
    </w:p>
    <w:p w14:paraId="5400F8D8" w14:textId="77777777" w:rsidR="00396C65" w:rsidRDefault="00396C65" w:rsidP="003C3135">
      <w:pPr>
        <w:jc w:val="both"/>
        <w:rPr>
          <w:b/>
          <w:bCs/>
          <w:u w:val="single"/>
        </w:rPr>
      </w:pPr>
      <w:r>
        <w:rPr>
          <w:b/>
          <w:bCs/>
          <w:u w:val="single"/>
        </w:rPr>
        <w:br/>
      </w:r>
    </w:p>
    <w:p w14:paraId="38BABB20" w14:textId="44574871" w:rsidR="004D0AED" w:rsidRPr="00A40E4B" w:rsidRDefault="004D0AED" w:rsidP="003C3135">
      <w:pPr>
        <w:jc w:val="both"/>
        <w:rPr>
          <w:b/>
          <w:bCs/>
          <w:u w:val="single"/>
        </w:rPr>
      </w:pPr>
      <w:r w:rsidRPr="00A40E4B">
        <w:rPr>
          <w:b/>
          <w:bCs/>
          <w:u w:val="single"/>
        </w:rPr>
        <w:lastRenderedPageBreak/>
        <w:t>Consultation</w:t>
      </w:r>
    </w:p>
    <w:p w14:paraId="2EC8E84A" w14:textId="77777777" w:rsidR="00832C08" w:rsidRPr="008E30B9" w:rsidRDefault="00622878" w:rsidP="00FF5EAF">
      <w:pPr>
        <w:spacing w:after="0" w:line="276" w:lineRule="auto"/>
        <w:jc w:val="both"/>
        <w:rPr>
          <w:rFonts w:eastAsia="Times New Roman" w:cs="Aptos"/>
          <w:kern w:val="0"/>
        </w:rPr>
      </w:pPr>
      <w:r w:rsidRPr="008E30B9">
        <w:rPr>
          <w:rFonts w:eastAsia="Times New Roman" w:cs="Aptos"/>
          <w:kern w:val="0"/>
        </w:rPr>
        <w:t>T</w:t>
      </w:r>
      <w:r w:rsidRPr="008E30B9">
        <w:rPr>
          <w:rFonts w:eastAsia="Times New Roman" w:cs="Aptos"/>
          <w:kern w:val="0"/>
        </w:rPr>
        <w:t xml:space="preserve">he DEFRA Local Air Quality Management Policy Guidance (PG22) </w:t>
      </w:r>
      <w:r w:rsidR="008D0E49" w:rsidRPr="008E30B9">
        <w:rPr>
          <w:rFonts w:eastAsia="Times New Roman" w:cs="Aptos"/>
          <w:kern w:val="0"/>
        </w:rPr>
        <w:t>states</w:t>
      </w:r>
      <w:r w:rsidRPr="008E30B9">
        <w:rPr>
          <w:rFonts w:eastAsia="Times New Roman" w:cs="Aptos"/>
          <w:kern w:val="0"/>
        </w:rPr>
        <w:t xml:space="preserve"> “</w:t>
      </w:r>
      <w:r w:rsidRPr="008E30B9">
        <w:rPr>
          <w:rFonts w:eastAsia="Times New Roman" w:cs="Aptos"/>
          <w:i/>
          <w:iCs/>
          <w:kern w:val="0"/>
        </w:rPr>
        <w:t>Local authorities in England are encouraged to consult (though a full public consultation would not be required)</w:t>
      </w:r>
      <w:r w:rsidR="00253291" w:rsidRPr="008E30B9">
        <w:rPr>
          <w:rFonts w:eastAsia="Times New Roman" w:cs="Aptos"/>
          <w:i/>
          <w:iCs/>
          <w:kern w:val="0"/>
        </w:rPr>
        <w:t>.</w:t>
      </w:r>
      <w:r w:rsidR="00253291" w:rsidRPr="008E30B9">
        <w:rPr>
          <w:rFonts w:eastAsia="Times New Roman" w:cs="Aptos"/>
          <w:kern w:val="0"/>
        </w:rPr>
        <w:t xml:space="preserve">” </w:t>
      </w:r>
    </w:p>
    <w:p w14:paraId="24DA8167" w14:textId="77777777" w:rsidR="00832C08" w:rsidRPr="008E30B9" w:rsidRDefault="00832C08" w:rsidP="00FF5EAF">
      <w:pPr>
        <w:spacing w:after="0" w:line="276" w:lineRule="auto"/>
        <w:jc w:val="both"/>
        <w:rPr>
          <w:rFonts w:eastAsia="Times New Roman" w:cs="Aptos"/>
          <w:kern w:val="0"/>
        </w:rPr>
      </w:pPr>
    </w:p>
    <w:p w14:paraId="188A5F7C" w14:textId="5CBE9CBF" w:rsidR="00F30B65" w:rsidRPr="008E30B9" w:rsidRDefault="00AE4A12" w:rsidP="00FF5EAF">
      <w:pPr>
        <w:spacing w:after="0" w:line="276" w:lineRule="auto"/>
        <w:jc w:val="both"/>
        <w:rPr>
          <w:rFonts w:eastAsia="Times New Roman" w:cs="Aptos"/>
          <w:kern w:val="0"/>
        </w:rPr>
      </w:pPr>
      <w:proofErr w:type="gramStart"/>
      <w:r w:rsidRPr="008E30B9">
        <w:rPr>
          <w:rFonts w:eastAsia="Times New Roman" w:cs="Aptos"/>
          <w:kern w:val="0"/>
        </w:rPr>
        <w:t>I</w:t>
      </w:r>
      <w:r w:rsidR="00832C08" w:rsidRPr="008E30B9">
        <w:rPr>
          <w:rFonts w:eastAsia="Times New Roman" w:cs="Aptos"/>
          <w:kern w:val="0"/>
        </w:rPr>
        <w:t>n</w:t>
      </w:r>
      <w:r w:rsidRPr="008E30B9">
        <w:rPr>
          <w:rFonts w:eastAsia="Times New Roman" w:cs="Aptos"/>
          <w:kern w:val="0"/>
        </w:rPr>
        <w:t xml:space="preserve"> </w:t>
      </w:r>
      <w:r w:rsidR="00832C08" w:rsidRPr="008E30B9">
        <w:rPr>
          <w:rFonts w:eastAsia="Times New Roman" w:cs="Aptos"/>
          <w:kern w:val="0"/>
        </w:rPr>
        <w:t>order</w:t>
      </w:r>
      <w:r w:rsidRPr="008E30B9">
        <w:rPr>
          <w:rFonts w:eastAsia="Times New Roman" w:cs="Aptos"/>
          <w:kern w:val="0"/>
        </w:rPr>
        <w:t xml:space="preserve"> to</w:t>
      </w:r>
      <w:proofErr w:type="gramEnd"/>
      <w:r w:rsidRPr="008E30B9">
        <w:rPr>
          <w:rFonts w:eastAsia="Times New Roman" w:cs="Aptos"/>
          <w:kern w:val="0"/>
        </w:rPr>
        <w:t xml:space="preserve"> clarify the </w:t>
      </w:r>
      <w:r w:rsidR="00832C08" w:rsidRPr="008E30B9">
        <w:rPr>
          <w:rFonts w:eastAsia="Times New Roman" w:cs="Aptos"/>
          <w:kern w:val="0"/>
        </w:rPr>
        <w:t>scope</w:t>
      </w:r>
      <w:r w:rsidRPr="008E30B9">
        <w:rPr>
          <w:rFonts w:eastAsia="Times New Roman" w:cs="Aptos"/>
          <w:kern w:val="0"/>
        </w:rPr>
        <w:t xml:space="preserve"> of the consultation </w:t>
      </w:r>
      <w:r w:rsidR="00832C08" w:rsidRPr="008E30B9">
        <w:rPr>
          <w:rFonts w:eastAsia="Times New Roman" w:cs="Aptos"/>
          <w:kern w:val="0"/>
        </w:rPr>
        <w:t xml:space="preserve">we benchmarked </w:t>
      </w:r>
      <w:r w:rsidR="008A1154" w:rsidRPr="008E30B9">
        <w:rPr>
          <w:rFonts w:eastAsia="Times New Roman" w:cs="Aptos"/>
          <w:kern w:val="0"/>
        </w:rPr>
        <w:t xml:space="preserve">ourselves against other local authorities that have recently </w:t>
      </w:r>
      <w:r w:rsidR="0063602A" w:rsidRPr="008E30B9">
        <w:rPr>
          <w:rFonts w:eastAsia="Times New Roman" w:cs="Aptos"/>
          <w:kern w:val="0"/>
        </w:rPr>
        <w:t>revoked</w:t>
      </w:r>
      <w:r w:rsidR="008A1154" w:rsidRPr="008E30B9">
        <w:rPr>
          <w:rFonts w:eastAsia="Times New Roman" w:cs="Aptos"/>
          <w:kern w:val="0"/>
        </w:rPr>
        <w:t xml:space="preserve"> similar orders including New Forest District Council and BCP council.</w:t>
      </w:r>
      <w:r w:rsidR="004D7110" w:rsidRPr="008E30B9">
        <w:rPr>
          <w:rFonts w:eastAsia="Times New Roman" w:cs="Aptos"/>
          <w:kern w:val="0"/>
        </w:rPr>
        <w:t xml:space="preserve"> These two did no public consultation and a limited </w:t>
      </w:r>
      <w:r w:rsidR="00E10B32" w:rsidRPr="008E30B9">
        <w:rPr>
          <w:rFonts w:eastAsia="Times New Roman" w:cs="Aptos"/>
          <w:kern w:val="0"/>
        </w:rPr>
        <w:t>stakeholder consultation.</w:t>
      </w:r>
      <w:r w:rsidR="008A1154" w:rsidRPr="008E30B9">
        <w:rPr>
          <w:rFonts w:eastAsia="Times New Roman" w:cs="Aptos"/>
          <w:kern w:val="0"/>
        </w:rPr>
        <w:t xml:space="preserve"> </w:t>
      </w:r>
      <w:r w:rsidR="0063602A" w:rsidRPr="008E30B9">
        <w:rPr>
          <w:rFonts w:eastAsia="Times New Roman" w:cs="Aptos"/>
          <w:kern w:val="0"/>
        </w:rPr>
        <w:t>We also asked</w:t>
      </w:r>
      <w:r w:rsidR="0030510A" w:rsidRPr="008E30B9">
        <w:rPr>
          <w:rFonts w:eastAsia="Times New Roman" w:cs="Aptos"/>
          <w:kern w:val="0"/>
        </w:rPr>
        <w:t xml:space="preserve"> via the</w:t>
      </w:r>
      <w:r w:rsidR="0063602A" w:rsidRPr="008E30B9">
        <w:rPr>
          <w:rFonts w:eastAsia="Times New Roman" w:cs="Aptos"/>
          <w:kern w:val="0"/>
        </w:rPr>
        <w:t xml:space="preserve"> DEFRA air quality for</w:t>
      </w:r>
      <w:r w:rsidR="00A80520" w:rsidRPr="008E30B9">
        <w:rPr>
          <w:rFonts w:eastAsia="Times New Roman" w:cs="Aptos"/>
          <w:kern w:val="0"/>
        </w:rPr>
        <w:t>um as to the level of consultation undertaken</w:t>
      </w:r>
      <w:r w:rsidR="00E10B32" w:rsidRPr="008E30B9">
        <w:rPr>
          <w:rFonts w:eastAsia="Times New Roman" w:cs="Aptos"/>
          <w:kern w:val="0"/>
        </w:rPr>
        <w:t xml:space="preserve">. </w:t>
      </w:r>
      <w:r w:rsidR="00E12BD9" w:rsidRPr="008E30B9">
        <w:rPr>
          <w:rFonts w:eastAsia="Times New Roman" w:cs="Aptos"/>
          <w:kern w:val="0"/>
        </w:rPr>
        <w:t xml:space="preserve">Of the 8 responses </w:t>
      </w:r>
      <w:r w:rsidR="00C27844" w:rsidRPr="008E30B9">
        <w:rPr>
          <w:rFonts w:eastAsia="Times New Roman" w:cs="Aptos"/>
          <w:kern w:val="0"/>
        </w:rPr>
        <w:t xml:space="preserve">2 did a wider consultation to include the public. These were where the AQMAs were high profile and contentious. </w:t>
      </w:r>
      <w:r w:rsidR="008B6CAB" w:rsidRPr="008E30B9">
        <w:rPr>
          <w:rFonts w:eastAsia="Times New Roman" w:cs="Aptos"/>
          <w:kern w:val="0"/>
        </w:rPr>
        <w:t>Finally,</w:t>
      </w:r>
      <w:r w:rsidR="005A0FDF" w:rsidRPr="008E30B9">
        <w:rPr>
          <w:rFonts w:eastAsia="Times New Roman" w:cs="Aptos"/>
          <w:kern w:val="0"/>
        </w:rPr>
        <w:t xml:space="preserve"> we contacted DEFRA </w:t>
      </w:r>
      <w:r w:rsidR="008B6CAB">
        <w:rPr>
          <w:rFonts w:eastAsia="Times New Roman" w:cs="Aptos"/>
          <w:kern w:val="0"/>
        </w:rPr>
        <w:t>and</w:t>
      </w:r>
      <w:r w:rsidR="005A0FDF" w:rsidRPr="008E30B9">
        <w:rPr>
          <w:rFonts w:eastAsia="Times New Roman" w:cs="Aptos"/>
          <w:kern w:val="0"/>
        </w:rPr>
        <w:t xml:space="preserve"> </w:t>
      </w:r>
      <w:r w:rsidR="00AF6D15" w:rsidRPr="008E30B9">
        <w:rPr>
          <w:rFonts w:eastAsia="Times New Roman" w:cs="Aptos"/>
          <w:kern w:val="0"/>
        </w:rPr>
        <w:t>specifically ask</w:t>
      </w:r>
      <w:r w:rsidR="008B6CAB">
        <w:rPr>
          <w:rFonts w:eastAsia="Times New Roman" w:cs="Aptos"/>
          <w:kern w:val="0"/>
        </w:rPr>
        <w:t>ed</w:t>
      </w:r>
      <w:r w:rsidR="00AF6D15" w:rsidRPr="008E30B9">
        <w:rPr>
          <w:rFonts w:eastAsia="Times New Roman" w:cs="Aptos"/>
          <w:kern w:val="0"/>
        </w:rPr>
        <w:t xml:space="preserve"> about the scope of the consultation</w:t>
      </w:r>
      <w:r w:rsidR="00B706E1" w:rsidRPr="008E30B9">
        <w:rPr>
          <w:rFonts w:eastAsia="Times New Roman" w:cs="Aptos"/>
          <w:kern w:val="0"/>
        </w:rPr>
        <w:t xml:space="preserve"> we had </w:t>
      </w:r>
      <w:r w:rsidR="002815E0">
        <w:rPr>
          <w:rFonts w:eastAsia="Times New Roman" w:cs="Aptos"/>
          <w:kern w:val="0"/>
        </w:rPr>
        <w:t>planned</w:t>
      </w:r>
      <w:r w:rsidR="00B706E1" w:rsidRPr="008E30B9">
        <w:rPr>
          <w:rFonts w:eastAsia="Times New Roman" w:cs="Aptos"/>
          <w:kern w:val="0"/>
        </w:rPr>
        <w:t xml:space="preserve">. </w:t>
      </w:r>
      <w:r w:rsidR="00AF6D15" w:rsidRPr="008E30B9">
        <w:rPr>
          <w:rFonts w:eastAsia="Times New Roman" w:cs="Aptos"/>
          <w:kern w:val="0"/>
        </w:rPr>
        <w:t xml:space="preserve">They replied </w:t>
      </w:r>
      <w:r w:rsidR="00B706E1" w:rsidRPr="008E30B9">
        <w:rPr>
          <w:rFonts w:eastAsia="Times New Roman" w:cs="Aptos"/>
          <w:kern w:val="0"/>
        </w:rPr>
        <w:t>“</w:t>
      </w:r>
      <w:r w:rsidR="00F30B65" w:rsidRPr="002815E0">
        <w:rPr>
          <w:rFonts w:eastAsia="Times New Roman" w:cs="Aptos"/>
          <w:i/>
          <w:iCs/>
          <w:kern w:val="0"/>
        </w:rPr>
        <w:t xml:space="preserve">this is </w:t>
      </w:r>
      <w:proofErr w:type="gramStart"/>
      <w:r w:rsidR="00F30B65" w:rsidRPr="002815E0">
        <w:rPr>
          <w:rFonts w:eastAsia="Times New Roman" w:cs="Aptos"/>
          <w:i/>
          <w:iCs/>
          <w:kern w:val="0"/>
        </w:rPr>
        <w:t>sufficient</w:t>
      </w:r>
      <w:proofErr w:type="gramEnd"/>
      <w:r w:rsidR="00F30B65" w:rsidRPr="002815E0">
        <w:rPr>
          <w:rFonts w:eastAsia="Times New Roman" w:cs="Aptos"/>
          <w:i/>
          <w:iCs/>
          <w:kern w:val="0"/>
        </w:rPr>
        <w:t xml:space="preserve"> and you are not needed to consult further. You can carry on with the revocation.</w:t>
      </w:r>
      <w:r w:rsidR="00F30B65" w:rsidRPr="008E30B9">
        <w:rPr>
          <w:rFonts w:eastAsia="Times New Roman" w:cs="Aptos"/>
          <w:kern w:val="0"/>
        </w:rPr>
        <w:t>”</w:t>
      </w:r>
    </w:p>
    <w:p w14:paraId="12BADF12" w14:textId="0F7DC861" w:rsidR="00F30B65" w:rsidRPr="00F30B65" w:rsidRDefault="00F30B65" w:rsidP="00F30B65">
      <w:pPr>
        <w:spacing w:after="0" w:line="240" w:lineRule="auto"/>
        <w:jc w:val="both"/>
        <w:rPr>
          <w:rFonts w:ascii="Aptos" w:eastAsia="Times New Roman" w:hAnsi="Aptos" w:cs="Aptos"/>
          <w:kern w:val="0"/>
        </w:rPr>
      </w:pPr>
    </w:p>
    <w:p w14:paraId="0BF8EDB7" w14:textId="77777777" w:rsidR="00622878" w:rsidRPr="0089273D" w:rsidRDefault="00622878" w:rsidP="003C3135">
      <w:pPr>
        <w:spacing w:after="0" w:line="240" w:lineRule="auto"/>
        <w:jc w:val="both"/>
        <w:rPr>
          <w:rFonts w:ascii="Aptos" w:eastAsia="Times New Roman" w:hAnsi="Aptos" w:cs="Aptos"/>
          <w:kern w:val="0"/>
        </w:rPr>
      </w:pPr>
    </w:p>
    <w:p w14:paraId="07F2B7C9" w14:textId="61AE6BBC" w:rsidR="00EB7B27" w:rsidRDefault="00EB7B27" w:rsidP="003C3135">
      <w:pPr>
        <w:jc w:val="both"/>
      </w:pPr>
      <w:r w:rsidRPr="00EB7B27">
        <w:t xml:space="preserve">Dorset Council Environmental Protection consulted with </w:t>
      </w:r>
      <w:r w:rsidR="004E2361">
        <w:t xml:space="preserve">the </w:t>
      </w:r>
      <w:r w:rsidR="00BC2504">
        <w:t xml:space="preserve">following agreed </w:t>
      </w:r>
      <w:r w:rsidRPr="00EB7B27">
        <w:t>local stakeholders regarding this proposal.</w:t>
      </w:r>
    </w:p>
    <w:p w14:paraId="3DCE4726" w14:textId="5682DCB3" w:rsidR="0096662B" w:rsidRDefault="00BC2504" w:rsidP="003C3135">
      <w:pPr>
        <w:jc w:val="both"/>
      </w:pPr>
      <w:r>
        <w:t>In</w:t>
      </w:r>
      <w:r w:rsidR="00EB429E">
        <w:t xml:space="preserve"> July </w:t>
      </w:r>
      <w:r>
        <w:t>20</w:t>
      </w:r>
      <w:r w:rsidR="00EB429E">
        <w:t>24</w:t>
      </w:r>
      <w:r w:rsidR="0070423E">
        <w:t>,</w:t>
      </w:r>
      <w:r w:rsidR="00EB429E">
        <w:t xml:space="preserve"> Cll</w:t>
      </w:r>
      <w:r w:rsidR="0070423E">
        <w:t xml:space="preserve">r Gill Taylor </w:t>
      </w:r>
      <w:r w:rsidR="00F17BF4">
        <w:t>(</w:t>
      </w:r>
      <w:r w:rsidR="00316B07">
        <w:t>Portfolio Holder for Environmental Health</w:t>
      </w:r>
      <w:r w:rsidR="0031676E">
        <w:t>)</w:t>
      </w:r>
      <w:r w:rsidR="00316B07">
        <w:t xml:space="preserve"> </w:t>
      </w:r>
      <w:r w:rsidR="0070423E">
        <w:t>was advised. She had no adverse comments to make on this proposed revocation.</w:t>
      </w:r>
    </w:p>
    <w:p w14:paraId="07E0AAB8" w14:textId="5EC26D84" w:rsidR="0031676E" w:rsidRDefault="002475D1" w:rsidP="003C3135">
      <w:pPr>
        <w:jc w:val="both"/>
      </w:pPr>
      <w:r>
        <w:t xml:space="preserve">Cllr Les Fry and </w:t>
      </w:r>
      <w:r w:rsidR="00BB48CE">
        <w:t xml:space="preserve">Cllr Andy Canning were also consulted, as the </w:t>
      </w:r>
      <w:r w:rsidR="005676D3">
        <w:t>ward</w:t>
      </w:r>
      <w:r w:rsidR="005D086A">
        <w:t xml:space="preserve"> councillors</w:t>
      </w:r>
      <w:r w:rsidR="00943EF9">
        <w:t xml:space="preserve"> overseeing the AQMA</w:t>
      </w:r>
      <w:r w:rsidR="005D086A">
        <w:t>. They also ha</w:t>
      </w:r>
      <w:r w:rsidR="008E055F">
        <w:t>d</w:t>
      </w:r>
      <w:r w:rsidR="005D086A">
        <w:t xml:space="preserve"> no concerns</w:t>
      </w:r>
      <w:r w:rsidR="007F5D4C">
        <w:t>.</w:t>
      </w:r>
      <w:r w:rsidR="007A0227">
        <w:t xml:space="preserve"> Dorchester Town Council were contacte</w:t>
      </w:r>
      <w:r w:rsidR="00E82706">
        <w:t>d, and they also expressed no concerns.</w:t>
      </w:r>
    </w:p>
    <w:p w14:paraId="482DAED8" w14:textId="08FC986C" w:rsidR="0070423E" w:rsidRDefault="00D46A6F" w:rsidP="003C3135">
      <w:pPr>
        <w:jc w:val="both"/>
      </w:pPr>
      <w:r>
        <w:t>Jack Wiltshire</w:t>
      </w:r>
      <w:r w:rsidR="007F608A">
        <w:t xml:space="preserve"> (Head of Highways)</w:t>
      </w:r>
      <w:r w:rsidR="003A1C9E">
        <w:t>,</w:t>
      </w:r>
      <w:r>
        <w:t xml:space="preserve"> and </w:t>
      </w:r>
      <w:r w:rsidR="007F608A">
        <w:t>Kate Tunks (</w:t>
      </w:r>
      <w:r w:rsidR="009B5C6A" w:rsidRPr="009B5C6A">
        <w:t xml:space="preserve">Service </w:t>
      </w:r>
      <w:proofErr w:type="spellStart"/>
      <w:r w:rsidR="009B5C6A" w:rsidRPr="009B5C6A">
        <w:t>Mgr</w:t>
      </w:r>
      <w:proofErr w:type="spellEnd"/>
      <w:r w:rsidR="009B5C6A" w:rsidRPr="009B5C6A">
        <w:t xml:space="preserve"> for Infrastructure &amp; Asset</w:t>
      </w:r>
      <w:r w:rsidR="009B5C6A">
        <w:t>s)</w:t>
      </w:r>
      <w:r w:rsidR="003A1C9E">
        <w:t>, were consulted</w:t>
      </w:r>
      <w:r w:rsidR="008E055F">
        <w:t xml:space="preserve">. They </w:t>
      </w:r>
      <w:r w:rsidR="00007E95">
        <w:t xml:space="preserve">were pleased to see that the Air Quality was </w:t>
      </w:r>
      <w:r w:rsidR="005207C5">
        <w:t>improving and</w:t>
      </w:r>
      <w:r w:rsidR="008E055F">
        <w:t xml:space="preserve"> had no adverse comments to make</w:t>
      </w:r>
      <w:r w:rsidR="00007E95">
        <w:t>.</w:t>
      </w:r>
    </w:p>
    <w:p w14:paraId="38A14DCC" w14:textId="75A6B220" w:rsidR="00007E95" w:rsidRDefault="00282E58" w:rsidP="003C3135">
      <w:pPr>
        <w:jc w:val="both"/>
      </w:pPr>
      <w:r>
        <w:t xml:space="preserve">As </w:t>
      </w:r>
      <w:r w:rsidR="00BB79D0">
        <w:t xml:space="preserve">these </w:t>
      </w:r>
      <w:r>
        <w:t xml:space="preserve">key partners </w:t>
      </w:r>
      <w:r w:rsidR="00BB79D0">
        <w:t xml:space="preserve">/ stakeholders </w:t>
      </w:r>
      <w:r>
        <w:t>offered no objections to the revocation</w:t>
      </w:r>
      <w:r w:rsidR="00BA1B27">
        <w:t>, especially our Highways department who are mentioned in the associated Air Quality Action Plan</w:t>
      </w:r>
      <w:r w:rsidR="008E2318">
        <w:t xml:space="preserve"> (</w:t>
      </w:r>
      <w:r w:rsidR="00BA1B27">
        <w:t>AQAP</w:t>
      </w:r>
      <w:r w:rsidR="008E2318">
        <w:t>)</w:t>
      </w:r>
      <w:r w:rsidR="001D0127">
        <w:t>,</w:t>
      </w:r>
      <w:r w:rsidR="00637294">
        <w:t xml:space="preserve"> this further supported the idea that </w:t>
      </w:r>
      <w:r w:rsidR="001D0127">
        <w:t xml:space="preserve">a wider </w:t>
      </w:r>
      <w:r w:rsidR="008E2318">
        <w:t xml:space="preserve">consultation was not </w:t>
      </w:r>
      <w:r w:rsidR="00F66936">
        <w:t xml:space="preserve">warranted. </w:t>
      </w:r>
    </w:p>
    <w:p w14:paraId="4AB400D1" w14:textId="77777777" w:rsidR="00DF7DC0" w:rsidRDefault="00DF7DC0" w:rsidP="003C3135">
      <w:pPr>
        <w:jc w:val="both"/>
      </w:pPr>
    </w:p>
    <w:p w14:paraId="25095336" w14:textId="77777777" w:rsidR="00260541" w:rsidRDefault="00260541" w:rsidP="003C3135">
      <w:pPr>
        <w:jc w:val="both"/>
        <w:rPr>
          <w:b/>
          <w:bCs/>
          <w:u w:val="single"/>
        </w:rPr>
      </w:pPr>
      <w:r>
        <w:rPr>
          <w:b/>
          <w:bCs/>
          <w:u w:val="single"/>
        </w:rPr>
        <w:br/>
      </w:r>
    </w:p>
    <w:p w14:paraId="6F41A762" w14:textId="77777777" w:rsidR="00260541" w:rsidRDefault="00260541">
      <w:pPr>
        <w:rPr>
          <w:b/>
          <w:bCs/>
          <w:u w:val="single"/>
        </w:rPr>
      </w:pPr>
      <w:r>
        <w:rPr>
          <w:b/>
          <w:bCs/>
          <w:u w:val="single"/>
        </w:rPr>
        <w:br w:type="page"/>
      </w:r>
    </w:p>
    <w:p w14:paraId="5CE27EAA" w14:textId="71CA0C2A" w:rsidR="005170BE" w:rsidRPr="00EE3A33" w:rsidRDefault="005170BE" w:rsidP="003C3135">
      <w:pPr>
        <w:jc w:val="both"/>
        <w:rPr>
          <w:b/>
          <w:bCs/>
          <w:u w:val="single"/>
        </w:rPr>
      </w:pPr>
      <w:r w:rsidRPr="00EE3A33">
        <w:rPr>
          <w:b/>
          <w:bCs/>
          <w:u w:val="single"/>
        </w:rPr>
        <w:lastRenderedPageBreak/>
        <w:t>Summary</w:t>
      </w:r>
      <w:r w:rsidR="00EE3A33" w:rsidRPr="00EE3A33">
        <w:rPr>
          <w:b/>
          <w:bCs/>
          <w:u w:val="single"/>
        </w:rPr>
        <w:t xml:space="preserve"> and</w:t>
      </w:r>
      <w:r w:rsidRPr="00EE3A33">
        <w:rPr>
          <w:b/>
          <w:bCs/>
          <w:u w:val="single"/>
        </w:rPr>
        <w:t xml:space="preserve"> </w:t>
      </w:r>
      <w:r w:rsidR="00EE3A33" w:rsidRPr="00EE3A33">
        <w:rPr>
          <w:b/>
          <w:bCs/>
          <w:u w:val="single"/>
        </w:rPr>
        <w:t>R</w:t>
      </w:r>
      <w:r w:rsidRPr="00EE3A33">
        <w:rPr>
          <w:b/>
          <w:bCs/>
          <w:u w:val="single"/>
        </w:rPr>
        <w:t>ecommendation</w:t>
      </w:r>
    </w:p>
    <w:p w14:paraId="4C6E81EC" w14:textId="57D51812" w:rsidR="005170BE" w:rsidRDefault="00F03C8C" w:rsidP="003C3135">
      <w:pPr>
        <w:jc w:val="both"/>
      </w:pPr>
      <w:r>
        <w:t xml:space="preserve">As evidenced above, the AQMA for </w:t>
      </w:r>
      <w:r w:rsidR="00306ADA">
        <w:t xml:space="preserve">High </w:t>
      </w:r>
      <w:r>
        <w:t xml:space="preserve">East </w:t>
      </w:r>
      <w:r w:rsidR="00306ADA">
        <w:t xml:space="preserve">Street has repeatedly fallen below </w:t>
      </w:r>
      <w:r w:rsidR="00C8318E">
        <w:t>the Objective for NO</w:t>
      </w:r>
      <w:r w:rsidR="00C8318E" w:rsidRPr="00573C1A">
        <w:rPr>
          <w:vertAlign w:val="subscript"/>
        </w:rPr>
        <w:t>2</w:t>
      </w:r>
      <w:r w:rsidR="00C8318E">
        <w:t xml:space="preserve"> </w:t>
      </w:r>
      <w:r w:rsidR="00E002B3">
        <w:t>(</w:t>
      </w:r>
      <w:r w:rsidR="00E002B3" w:rsidRPr="00E002B3">
        <w:t>40µg/</w:t>
      </w:r>
      <w:r w:rsidR="003C3135">
        <w:t>m</w:t>
      </w:r>
      <w:r w:rsidR="003C3135" w:rsidRPr="003E7D74">
        <w:rPr>
          <w:vertAlign w:val="superscript"/>
        </w:rPr>
        <w:t>3</w:t>
      </w:r>
      <w:r w:rsidR="00E002B3">
        <w:t xml:space="preserve"> Annual Mean). </w:t>
      </w:r>
      <w:r w:rsidR="00E72483">
        <w:t xml:space="preserve">This has been reported to DEFRA and they agree that Revocation is appropriate. </w:t>
      </w:r>
    </w:p>
    <w:p w14:paraId="03111AFA" w14:textId="54A20B16" w:rsidR="00817609" w:rsidRDefault="00817609" w:rsidP="003C3135">
      <w:pPr>
        <w:jc w:val="both"/>
      </w:pPr>
      <w:r>
        <w:t xml:space="preserve">A consultation has taken place with the relevant </w:t>
      </w:r>
      <w:r w:rsidR="001828B0">
        <w:t>stakeholders and no adverse comments were received.</w:t>
      </w:r>
    </w:p>
    <w:p w14:paraId="210703DD" w14:textId="298F442E" w:rsidR="00B40E83" w:rsidRDefault="00B40E83" w:rsidP="003C3135">
      <w:pPr>
        <w:jc w:val="both"/>
      </w:pPr>
      <w:r>
        <w:t xml:space="preserve">Advice has been taken from our legal services and the revocation process </w:t>
      </w:r>
      <w:r w:rsidR="00064422">
        <w:t>was confirmed.</w:t>
      </w:r>
    </w:p>
    <w:p w14:paraId="7CDA1A73" w14:textId="0A21C196" w:rsidR="00064422" w:rsidRDefault="00600B89" w:rsidP="003C3135">
      <w:pPr>
        <w:jc w:val="both"/>
      </w:pPr>
      <w:r>
        <w:t xml:space="preserve">Based on the report above it is recommended that the </w:t>
      </w:r>
      <w:r w:rsidR="00090C65" w:rsidRPr="00090C65">
        <w:t>Executive Lead for the Place Directorate</w:t>
      </w:r>
      <w:r w:rsidR="00090C65">
        <w:t xml:space="preserve"> agree this revocation, and the decision be recorded </w:t>
      </w:r>
      <w:r w:rsidR="00EE3A33">
        <w:t>appropriately.</w:t>
      </w:r>
    </w:p>
    <w:p w14:paraId="10569D1A" w14:textId="77777777" w:rsidR="00F03C8C" w:rsidRDefault="00F03C8C" w:rsidP="003C3135">
      <w:pPr>
        <w:jc w:val="both"/>
      </w:pPr>
    </w:p>
    <w:p w14:paraId="5177D7F9" w14:textId="77777777" w:rsidR="00F03C8C" w:rsidRDefault="00F03C8C" w:rsidP="003C3135">
      <w:pPr>
        <w:jc w:val="both"/>
      </w:pPr>
    </w:p>
    <w:p w14:paraId="4877453F" w14:textId="77777777" w:rsidR="00F03C8C" w:rsidRDefault="00F03C8C" w:rsidP="003C3135">
      <w:pPr>
        <w:jc w:val="both"/>
      </w:pPr>
    </w:p>
    <w:p w14:paraId="03697D12" w14:textId="77777777" w:rsidR="00BF0B2B" w:rsidRDefault="00BF0B2B">
      <w:pPr>
        <w:rPr>
          <w:b/>
          <w:bCs/>
          <w:u w:val="single"/>
        </w:rPr>
      </w:pPr>
      <w:r>
        <w:rPr>
          <w:b/>
          <w:bCs/>
          <w:u w:val="single"/>
        </w:rPr>
        <w:br/>
      </w:r>
    </w:p>
    <w:p w14:paraId="085EDB3A" w14:textId="55CA741F" w:rsidR="00BF0B2B" w:rsidRDefault="00BF0B2B">
      <w:pPr>
        <w:rPr>
          <w:b/>
          <w:bCs/>
          <w:u w:val="single"/>
        </w:rPr>
      </w:pPr>
    </w:p>
    <w:p w14:paraId="7C04AF3C" w14:textId="00EFBE29" w:rsidR="005170BE" w:rsidRPr="005A6E68" w:rsidRDefault="005170BE">
      <w:pPr>
        <w:rPr>
          <w:b/>
          <w:bCs/>
          <w:u w:val="single"/>
        </w:rPr>
      </w:pPr>
      <w:r w:rsidRPr="005A6E68">
        <w:rPr>
          <w:b/>
          <w:bCs/>
          <w:u w:val="single"/>
        </w:rPr>
        <w:t>References</w:t>
      </w:r>
    </w:p>
    <w:p w14:paraId="4647C32E" w14:textId="4A5BEBA8" w:rsidR="005170BE" w:rsidRDefault="00776EDC">
      <w:r>
        <w:t>Air Quality Action Plan (AQAP</w:t>
      </w:r>
      <w:r w:rsidR="005A6E68">
        <w:t xml:space="preserve">) </w:t>
      </w:r>
      <w:r>
        <w:t>Dorset Council</w:t>
      </w:r>
      <w:r w:rsidR="005A6E68">
        <w:t>.</w:t>
      </w:r>
      <w:r>
        <w:t xml:space="preserve"> </w:t>
      </w:r>
      <w:r w:rsidR="0047269C">
        <w:br/>
      </w:r>
      <w:hyperlink r:id="rId7" w:history="1">
        <w:r w:rsidR="00567DFC" w:rsidRPr="006676C8">
          <w:rPr>
            <w:rStyle w:val="Hyperlink"/>
          </w:rPr>
          <w:t>https://www.dorsetcouncil.gov.uk/environmental-health/pollution/air-quality-in-chideock.aspx</w:t>
        </w:r>
      </w:hyperlink>
      <w:r w:rsidR="00567DFC">
        <w:t xml:space="preserve"> </w:t>
      </w:r>
    </w:p>
    <w:p w14:paraId="62875547" w14:textId="77777777" w:rsidR="0047269C" w:rsidRDefault="0047269C"/>
    <w:p w14:paraId="5DB36F3C" w14:textId="23043E95" w:rsidR="005A6E68" w:rsidRDefault="007C7645">
      <w:r>
        <w:t xml:space="preserve">Dorset Councils Annual Status Reports (ASR) </w:t>
      </w:r>
      <w:r w:rsidR="0047269C">
        <w:br/>
      </w:r>
      <w:hyperlink r:id="rId8" w:history="1">
        <w:r w:rsidR="0047269C" w:rsidRPr="006676C8">
          <w:rPr>
            <w:rStyle w:val="Hyperlink"/>
          </w:rPr>
          <w:t>https://www.dorsetcouncil.gov.uk/w/air-quality</w:t>
        </w:r>
      </w:hyperlink>
      <w:r w:rsidR="0047269C">
        <w:t xml:space="preserve"> </w:t>
      </w:r>
      <w:r w:rsidR="0047269C">
        <w:br/>
      </w:r>
    </w:p>
    <w:p w14:paraId="03950DA2" w14:textId="64E3D2DA" w:rsidR="005170BE" w:rsidRDefault="00496A67">
      <w:r w:rsidRPr="00496A67">
        <w:t>Local Air Quality Management Policy Guidance (PG22) August 20</w:t>
      </w:r>
      <w:r w:rsidR="0046690E">
        <w:t>22</w:t>
      </w:r>
      <w:r w:rsidR="00FE692F">
        <w:br/>
      </w:r>
      <w:hyperlink r:id="rId9" w:history="1">
        <w:r w:rsidR="00FE692F" w:rsidRPr="00BE0DC1">
          <w:rPr>
            <w:rStyle w:val="Hyperlink"/>
          </w:rPr>
          <w:t>https://laqm.defra.gov.uk/wp-content/uploads/2023/11/LAQM-Policy-Guidance-2022.pdf</w:t>
        </w:r>
      </w:hyperlink>
    </w:p>
    <w:p w14:paraId="4CD339EA" w14:textId="77777777" w:rsidR="00FE692F" w:rsidRDefault="00FE692F"/>
    <w:p w14:paraId="45F50E56" w14:textId="77777777" w:rsidR="005170BE" w:rsidRDefault="005170BE"/>
    <w:p w14:paraId="2D8A2060" w14:textId="77777777" w:rsidR="005170BE" w:rsidRDefault="005170BE"/>
    <w:p w14:paraId="18CBF862" w14:textId="77777777" w:rsidR="005170BE" w:rsidRDefault="005170BE"/>
    <w:p w14:paraId="0DD159DA" w14:textId="77777777" w:rsidR="005170BE" w:rsidRDefault="005170BE"/>
    <w:p w14:paraId="4DE972D1" w14:textId="79333665" w:rsidR="003E4A13" w:rsidRPr="00A40E4B" w:rsidRDefault="003E4A13">
      <w:pPr>
        <w:rPr>
          <w:b/>
          <w:bCs/>
          <w:u w:val="single"/>
        </w:rPr>
      </w:pPr>
      <w:r w:rsidRPr="00A40E4B">
        <w:rPr>
          <w:b/>
          <w:bCs/>
          <w:u w:val="single"/>
        </w:rPr>
        <w:lastRenderedPageBreak/>
        <w:t>Appendix 1 – Air Quality Management Area (AQMA) declaration</w:t>
      </w:r>
    </w:p>
    <w:p w14:paraId="69AF2767" w14:textId="7A6348B6" w:rsidR="003E4A13" w:rsidRDefault="003E4A13">
      <w:r w:rsidRPr="003E4A13">
        <w:rPr>
          <w:noProof/>
        </w:rPr>
        <w:drawing>
          <wp:inline distT="0" distB="0" distL="0" distR="0" wp14:anchorId="05D404D3" wp14:editId="24FF8A24">
            <wp:extent cx="5181600" cy="7371589"/>
            <wp:effectExtent l="0" t="0" r="0" b="1270"/>
            <wp:docPr id="1051544653" name="Picture 1" descr="A document with a red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44653" name="Picture 1" descr="A document with a red seal&#10;&#10;Description automatically generated"/>
                    <pic:cNvPicPr/>
                  </pic:nvPicPr>
                  <pic:blipFill>
                    <a:blip r:embed="rId10"/>
                    <a:stretch>
                      <a:fillRect/>
                    </a:stretch>
                  </pic:blipFill>
                  <pic:spPr>
                    <a:xfrm>
                      <a:off x="0" y="0"/>
                      <a:ext cx="5184425" cy="7375607"/>
                    </a:xfrm>
                    <a:prstGeom prst="rect">
                      <a:avLst/>
                    </a:prstGeom>
                  </pic:spPr>
                </pic:pic>
              </a:graphicData>
            </a:graphic>
          </wp:inline>
        </w:drawing>
      </w:r>
    </w:p>
    <w:p w14:paraId="0C07E831" w14:textId="77777777" w:rsidR="003E4A13" w:rsidRDefault="003E4A13" w:rsidP="003E4A13"/>
    <w:p w14:paraId="2FE5ED52" w14:textId="77777777" w:rsidR="003E4A13" w:rsidRDefault="003E4A13" w:rsidP="003E4A13"/>
    <w:p w14:paraId="5BF329ED" w14:textId="77777777" w:rsidR="003E4A13" w:rsidRDefault="003E4A13" w:rsidP="003E4A13"/>
    <w:p w14:paraId="1BF36E3A" w14:textId="55F26401" w:rsidR="003E4A13" w:rsidRDefault="003E4A13">
      <w:r>
        <w:rPr>
          <w:noProof/>
        </w:rPr>
        <w:lastRenderedPageBreak/>
        <w:drawing>
          <wp:inline distT="0" distB="0" distL="0" distR="0" wp14:anchorId="3DDE00F1" wp14:editId="150C0F6D">
            <wp:extent cx="5410200" cy="7744550"/>
            <wp:effectExtent l="0" t="0" r="0" b="8890"/>
            <wp:docPr id="947288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1935" cy="7747033"/>
                    </a:xfrm>
                    <a:prstGeom prst="rect">
                      <a:avLst/>
                    </a:prstGeom>
                    <a:noFill/>
                  </pic:spPr>
                </pic:pic>
              </a:graphicData>
            </a:graphic>
          </wp:inline>
        </w:drawing>
      </w:r>
    </w:p>
    <w:sectPr w:rsidR="003E4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13"/>
    <w:rsid w:val="000063E3"/>
    <w:rsid w:val="00007E95"/>
    <w:rsid w:val="00064422"/>
    <w:rsid w:val="00071818"/>
    <w:rsid w:val="00072294"/>
    <w:rsid w:val="00077598"/>
    <w:rsid w:val="0008048D"/>
    <w:rsid w:val="00090C65"/>
    <w:rsid w:val="00095AE7"/>
    <w:rsid w:val="000B2FED"/>
    <w:rsid w:val="000D28FB"/>
    <w:rsid w:val="000E13D9"/>
    <w:rsid w:val="0010529D"/>
    <w:rsid w:val="00112AA9"/>
    <w:rsid w:val="00141104"/>
    <w:rsid w:val="00143F50"/>
    <w:rsid w:val="00160EFE"/>
    <w:rsid w:val="00161862"/>
    <w:rsid w:val="001756BB"/>
    <w:rsid w:val="001828B0"/>
    <w:rsid w:val="001B0C57"/>
    <w:rsid w:val="001D0127"/>
    <w:rsid w:val="001D5A85"/>
    <w:rsid w:val="001D652E"/>
    <w:rsid w:val="001D6A81"/>
    <w:rsid w:val="001E266E"/>
    <w:rsid w:val="0023344F"/>
    <w:rsid w:val="00240CDD"/>
    <w:rsid w:val="002457C8"/>
    <w:rsid w:val="002475D1"/>
    <w:rsid w:val="00252C73"/>
    <w:rsid w:val="00253291"/>
    <w:rsid w:val="002563E5"/>
    <w:rsid w:val="00260541"/>
    <w:rsid w:val="002815E0"/>
    <w:rsid w:val="00282E58"/>
    <w:rsid w:val="002D0E92"/>
    <w:rsid w:val="002D1DEF"/>
    <w:rsid w:val="002F16FA"/>
    <w:rsid w:val="0030252F"/>
    <w:rsid w:val="0030510A"/>
    <w:rsid w:val="00306ADA"/>
    <w:rsid w:val="00312287"/>
    <w:rsid w:val="0031676E"/>
    <w:rsid w:val="00316B07"/>
    <w:rsid w:val="00374171"/>
    <w:rsid w:val="00396C65"/>
    <w:rsid w:val="003A1C9E"/>
    <w:rsid w:val="003C3135"/>
    <w:rsid w:val="003D69C0"/>
    <w:rsid w:val="003E4A13"/>
    <w:rsid w:val="003E7D74"/>
    <w:rsid w:val="003F4943"/>
    <w:rsid w:val="00434690"/>
    <w:rsid w:val="00447690"/>
    <w:rsid w:val="00451E18"/>
    <w:rsid w:val="00451F4D"/>
    <w:rsid w:val="00463975"/>
    <w:rsid w:val="0046690E"/>
    <w:rsid w:val="0047269C"/>
    <w:rsid w:val="004754A1"/>
    <w:rsid w:val="00495346"/>
    <w:rsid w:val="00496A67"/>
    <w:rsid w:val="004D0AED"/>
    <w:rsid w:val="004D3826"/>
    <w:rsid w:val="004D7110"/>
    <w:rsid w:val="004E2361"/>
    <w:rsid w:val="004F7905"/>
    <w:rsid w:val="005170BE"/>
    <w:rsid w:val="005207C5"/>
    <w:rsid w:val="00524987"/>
    <w:rsid w:val="005676D3"/>
    <w:rsid w:val="00567DFC"/>
    <w:rsid w:val="00573C1A"/>
    <w:rsid w:val="00574EC2"/>
    <w:rsid w:val="005A0FDF"/>
    <w:rsid w:val="005A6E68"/>
    <w:rsid w:val="005D086A"/>
    <w:rsid w:val="005D3E52"/>
    <w:rsid w:val="005D455E"/>
    <w:rsid w:val="00600B89"/>
    <w:rsid w:val="006110B9"/>
    <w:rsid w:val="00613CDC"/>
    <w:rsid w:val="00622878"/>
    <w:rsid w:val="00623039"/>
    <w:rsid w:val="0063602A"/>
    <w:rsid w:val="00637294"/>
    <w:rsid w:val="00685EAB"/>
    <w:rsid w:val="00690870"/>
    <w:rsid w:val="006A5C3F"/>
    <w:rsid w:val="006D4841"/>
    <w:rsid w:val="00703B66"/>
    <w:rsid w:val="0070423E"/>
    <w:rsid w:val="0073096A"/>
    <w:rsid w:val="007403E8"/>
    <w:rsid w:val="00761CAD"/>
    <w:rsid w:val="00776EDC"/>
    <w:rsid w:val="007A0227"/>
    <w:rsid w:val="007A6FDD"/>
    <w:rsid w:val="007B0421"/>
    <w:rsid w:val="007C7645"/>
    <w:rsid w:val="007D2297"/>
    <w:rsid w:val="007D2D3E"/>
    <w:rsid w:val="007D7A91"/>
    <w:rsid w:val="007F5D4C"/>
    <w:rsid w:val="007F608A"/>
    <w:rsid w:val="008163BF"/>
    <w:rsid w:val="00817609"/>
    <w:rsid w:val="00826D91"/>
    <w:rsid w:val="00832C08"/>
    <w:rsid w:val="008431EA"/>
    <w:rsid w:val="00847B7F"/>
    <w:rsid w:val="008579A5"/>
    <w:rsid w:val="008A1154"/>
    <w:rsid w:val="008B6CAB"/>
    <w:rsid w:val="008C23CF"/>
    <w:rsid w:val="008C3366"/>
    <w:rsid w:val="008C4465"/>
    <w:rsid w:val="008D0E49"/>
    <w:rsid w:val="008E055F"/>
    <w:rsid w:val="008E2318"/>
    <w:rsid w:val="008E30B9"/>
    <w:rsid w:val="00902910"/>
    <w:rsid w:val="00942893"/>
    <w:rsid w:val="00943EF9"/>
    <w:rsid w:val="00951D7D"/>
    <w:rsid w:val="00957E50"/>
    <w:rsid w:val="0096318F"/>
    <w:rsid w:val="009663AA"/>
    <w:rsid w:val="0096662B"/>
    <w:rsid w:val="00971EFB"/>
    <w:rsid w:val="00972DD0"/>
    <w:rsid w:val="009A58AD"/>
    <w:rsid w:val="009B5C6A"/>
    <w:rsid w:val="009C12F1"/>
    <w:rsid w:val="00A05A1D"/>
    <w:rsid w:val="00A0787D"/>
    <w:rsid w:val="00A10B49"/>
    <w:rsid w:val="00A26FDE"/>
    <w:rsid w:val="00A32456"/>
    <w:rsid w:val="00A40E4B"/>
    <w:rsid w:val="00A77271"/>
    <w:rsid w:val="00A80520"/>
    <w:rsid w:val="00A854D9"/>
    <w:rsid w:val="00A96435"/>
    <w:rsid w:val="00AE4A12"/>
    <w:rsid w:val="00AF6D15"/>
    <w:rsid w:val="00B2197F"/>
    <w:rsid w:val="00B3633C"/>
    <w:rsid w:val="00B36EF0"/>
    <w:rsid w:val="00B40E83"/>
    <w:rsid w:val="00B64C12"/>
    <w:rsid w:val="00B706E1"/>
    <w:rsid w:val="00B77381"/>
    <w:rsid w:val="00B8270D"/>
    <w:rsid w:val="00B85F89"/>
    <w:rsid w:val="00B916A4"/>
    <w:rsid w:val="00BA1B27"/>
    <w:rsid w:val="00BA5012"/>
    <w:rsid w:val="00BB48CE"/>
    <w:rsid w:val="00BB79D0"/>
    <w:rsid w:val="00BC2504"/>
    <w:rsid w:val="00BE305B"/>
    <w:rsid w:val="00BF0B2B"/>
    <w:rsid w:val="00C27844"/>
    <w:rsid w:val="00C27B8B"/>
    <w:rsid w:val="00C33C85"/>
    <w:rsid w:val="00C33E90"/>
    <w:rsid w:val="00C7683D"/>
    <w:rsid w:val="00C76DCA"/>
    <w:rsid w:val="00C8318E"/>
    <w:rsid w:val="00CC13F7"/>
    <w:rsid w:val="00CC39F8"/>
    <w:rsid w:val="00CE4D4E"/>
    <w:rsid w:val="00CF2158"/>
    <w:rsid w:val="00D12010"/>
    <w:rsid w:val="00D46A6F"/>
    <w:rsid w:val="00D579B7"/>
    <w:rsid w:val="00D70CFB"/>
    <w:rsid w:val="00D75A59"/>
    <w:rsid w:val="00DA5DA4"/>
    <w:rsid w:val="00DD51B7"/>
    <w:rsid w:val="00DE4B9A"/>
    <w:rsid w:val="00DF748A"/>
    <w:rsid w:val="00DF7DC0"/>
    <w:rsid w:val="00E002B3"/>
    <w:rsid w:val="00E0675B"/>
    <w:rsid w:val="00E10B32"/>
    <w:rsid w:val="00E122CB"/>
    <w:rsid w:val="00E12BD9"/>
    <w:rsid w:val="00E1747E"/>
    <w:rsid w:val="00E30970"/>
    <w:rsid w:val="00E336E8"/>
    <w:rsid w:val="00E72483"/>
    <w:rsid w:val="00E82706"/>
    <w:rsid w:val="00EB429E"/>
    <w:rsid w:val="00EB7B27"/>
    <w:rsid w:val="00EE3A33"/>
    <w:rsid w:val="00EF513E"/>
    <w:rsid w:val="00F03C8C"/>
    <w:rsid w:val="00F05627"/>
    <w:rsid w:val="00F05B5F"/>
    <w:rsid w:val="00F15DED"/>
    <w:rsid w:val="00F17BF4"/>
    <w:rsid w:val="00F30B65"/>
    <w:rsid w:val="00F33A6E"/>
    <w:rsid w:val="00F47D4B"/>
    <w:rsid w:val="00F50D20"/>
    <w:rsid w:val="00F50F8F"/>
    <w:rsid w:val="00F66936"/>
    <w:rsid w:val="00F76BAE"/>
    <w:rsid w:val="00FA0351"/>
    <w:rsid w:val="00FA1959"/>
    <w:rsid w:val="00FC0956"/>
    <w:rsid w:val="00FC3F10"/>
    <w:rsid w:val="00FD71C4"/>
    <w:rsid w:val="00FE692F"/>
    <w:rsid w:val="00FF53A5"/>
    <w:rsid w:val="00FF5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B042"/>
  <w15:chartTrackingRefBased/>
  <w15:docId w15:val="{4DD02AA1-AB0B-41AB-9BC1-80A547D3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A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A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A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A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A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A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A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A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A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A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A13"/>
    <w:rPr>
      <w:rFonts w:eastAsiaTheme="majorEastAsia" w:cstheme="majorBidi"/>
      <w:color w:val="272727" w:themeColor="text1" w:themeTint="D8"/>
    </w:rPr>
  </w:style>
  <w:style w:type="paragraph" w:styleId="Title">
    <w:name w:val="Title"/>
    <w:basedOn w:val="Normal"/>
    <w:next w:val="Normal"/>
    <w:link w:val="TitleChar"/>
    <w:uiPriority w:val="10"/>
    <w:qFormat/>
    <w:rsid w:val="003E4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A13"/>
    <w:pPr>
      <w:spacing w:before="160"/>
      <w:jc w:val="center"/>
    </w:pPr>
    <w:rPr>
      <w:i/>
      <w:iCs/>
      <w:color w:val="404040" w:themeColor="text1" w:themeTint="BF"/>
    </w:rPr>
  </w:style>
  <w:style w:type="character" w:customStyle="1" w:styleId="QuoteChar">
    <w:name w:val="Quote Char"/>
    <w:basedOn w:val="DefaultParagraphFont"/>
    <w:link w:val="Quote"/>
    <w:uiPriority w:val="29"/>
    <w:rsid w:val="003E4A13"/>
    <w:rPr>
      <w:i/>
      <w:iCs/>
      <w:color w:val="404040" w:themeColor="text1" w:themeTint="BF"/>
    </w:rPr>
  </w:style>
  <w:style w:type="paragraph" w:styleId="ListParagraph">
    <w:name w:val="List Paragraph"/>
    <w:basedOn w:val="Normal"/>
    <w:uiPriority w:val="34"/>
    <w:qFormat/>
    <w:rsid w:val="003E4A13"/>
    <w:pPr>
      <w:ind w:left="720"/>
      <w:contextualSpacing/>
    </w:pPr>
  </w:style>
  <w:style w:type="character" w:styleId="IntenseEmphasis">
    <w:name w:val="Intense Emphasis"/>
    <w:basedOn w:val="DefaultParagraphFont"/>
    <w:uiPriority w:val="21"/>
    <w:qFormat/>
    <w:rsid w:val="003E4A13"/>
    <w:rPr>
      <w:i/>
      <w:iCs/>
      <w:color w:val="0F4761" w:themeColor="accent1" w:themeShade="BF"/>
    </w:rPr>
  </w:style>
  <w:style w:type="paragraph" w:styleId="IntenseQuote">
    <w:name w:val="Intense Quote"/>
    <w:basedOn w:val="Normal"/>
    <w:next w:val="Normal"/>
    <w:link w:val="IntenseQuoteChar"/>
    <w:uiPriority w:val="30"/>
    <w:qFormat/>
    <w:rsid w:val="003E4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A13"/>
    <w:rPr>
      <w:i/>
      <w:iCs/>
      <w:color w:val="0F4761" w:themeColor="accent1" w:themeShade="BF"/>
    </w:rPr>
  </w:style>
  <w:style w:type="character" w:styleId="IntenseReference">
    <w:name w:val="Intense Reference"/>
    <w:basedOn w:val="DefaultParagraphFont"/>
    <w:uiPriority w:val="32"/>
    <w:qFormat/>
    <w:rsid w:val="003E4A13"/>
    <w:rPr>
      <w:b/>
      <w:bCs/>
      <w:smallCaps/>
      <w:color w:val="0F4761" w:themeColor="accent1" w:themeShade="BF"/>
      <w:spacing w:val="5"/>
    </w:rPr>
  </w:style>
  <w:style w:type="table" w:customStyle="1" w:styleId="DefraGreen">
    <w:name w:val="Defra Green"/>
    <w:basedOn w:val="TableNormal"/>
    <w:uiPriority w:val="99"/>
    <w:qFormat/>
    <w:rsid w:val="002F16FA"/>
    <w:pPr>
      <w:spacing w:before="60" w:after="80" w:line="240" w:lineRule="auto"/>
    </w:pPr>
    <w:rPr>
      <w:rFonts w:ascii="Arial" w:eastAsia="Calibri" w:hAnsi="Arial" w:cs="Times New Roman"/>
      <w:kern w:val="0"/>
      <w:sz w:val="22"/>
      <w:szCs w:val="20"/>
      <w:lang w:eastAsia="en-GB"/>
      <w14:ligatures w14:val="none"/>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character" w:styleId="Hyperlink">
    <w:name w:val="Hyperlink"/>
    <w:basedOn w:val="DefaultParagraphFont"/>
    <w:uiPriority w:val="99"/>
    <w:unhideWhenUsed/>
    <w:rsid w:val="00160EFE"/>
    <w:rPr>
      <w:color w:val="467886" w:themeColor="hyperlink"/>
      <w:u w:val="single"/>
    </w:rPr>
  </w:style>
  <w:style w:type="character" w:styleId="UnresolvedMention">
    <w:name w:val="Unresolved Mention"/>
    <w:basedOn w:val="DefaultParagraphFont"/>
    <w:uiPriority w:val="99"/>
    <w:semiHidden/>
    <w:unhideWhenUsed/>
    <w:rsid w:val="00160EFE"/>
    <w:rPr>
      <w:color w:val="605E5C"/>
      <w:shd w:val="clear" w:color="auto" w:fill="E1DFDD"/>
    </w:rPr>
  </w:style>
  <w:style w:type="character" w:styleId="CommentReference">
    <w:name w:val="annotation reference"/>
    <w:basedOn w:val="DefaultParagraphFont"/>
    <w:uiPriority w:val="99"/>
    <w:semiHidden/>
    <w:unhideWhenUsed/>
    <w:rsid w:val="00451F4D"/>
    <w:rPr>
      <w:sz w:val="16"/>
      <w:szCs w:val="16"/>
    </w:rPr>
  </w:style>
  <w:style w:type="paragraph" w:styleId="CommentText">
    <w:name w:val="annotation text"/>
    <w:basedOn w:val="Normal"/>
    <w:link w:val="CommentTextChar"/>
    <w:uiPriority w:val="99"/>
    <w:unhideWhenUsed/>
    <w:rsid w:val="00451F4D"/>
    <w:pPr>
      <w:spacing w:line="240" w:lineRule="auto"/>
    </w:pPr>
    <w:rPr>
      <w:sz w:val="20"/>
      <w:szCs w:val="20"/>
    </w:rPr>
  </w:style>
  <w:style w:type="character" w:customStyle="1" w:styleId="CommentTextChar">
    <w:name w:val="Comment Text Char"/>
    <w:basedOn w:val="DefaultParagraphFont"/>
    <w:link w:val="CommentText"/>
    <w:uiPriority w:val="99"/>
    <w:rsid w:val="00451F4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2199">
      <w:bodyDiv w:val="1"/>
      <w:marLeft w:val="0"/>
      <w:marRight w:val="0"/>
      <w:marTop w:val="0"/>
      <w:marBottom w:val="0"/>
      <w:divBdr>
        <w:top w:val="none" w:sz="0" w:space="0" w:color="auto"/>
        <w:left w:val="none" w:sz="0" w:space="0" w:color="auto"/>
        <w:bottom w:val="none" w:sz="0" w:space="0" w:color="auto"/>
        <w:right w:val="none" w:sz="0" w:space="0" w:color="auto"/>
      </w:divBdr>
    </w:div>
    <w:div w:id="505025535">
      <w:bodyDiv w:val="1"/>
      <w:marLeft w:val="0"/>
      <w:marRight w:val="0"/>
      <w:marTop w:val="0"/>
      <w:marBottom w:val="0"/>
      <w:divBdr>
        <w:top w:val="none" w:sz="0" w:space="0" w:color="auto"/>
        <w:left w:val="none" w:sz="0" w:space="0" w:color="auto"/>
        <w:bottom w:val="none" w:sz="0" w:space="0" w:color="auto"/>
        <w:right w:val="none" w:sz="0" w:space="0" w:color="auto"/>
      </w:divBdr>
    </w:div>
    <w:div w:id="555703225">
      <w:bodyDiv w:val="1"/>
      <w:marLeft w:val="0"/>
      <w:marRight w:val="0"/>
      <w:marTop w:val="0"/>
      <w:marBottom w:val="0"/>
      <w:divBdr>
        <w:top w:val="none" w:sz="0" w:space="0" w:color="auto"/>
        <w:left w:val="none" w:sz="0" w:space="0" w:color="auto"/>
        <w:bottom w:val="none" w:sz="0" w:space="0" w:color="auto"/>
        <w:right w:val="none" w:sz="0" w:space="0" w:color="auto"/>
      </w:divBdr>
    </w:div>
    <w:div w:id="601453149">
      <w:bodyDiv w:val="1"/>
      <w:marLeft w:val="0"/>
      <w:marRight w:val="0"/>
      <w:marTop w:val="0"/>
      <w:marBottom w:val="0"/>
      <w:divBdr>
        <w:top w:val="none" w:sz="0" w:space="0" w:color="auto"/>
        <w:left w:val="none" w:sz="0" w:space="0" w:color="auto"/>
        <w:bottom w:val="none" w:sz="0" w:space="0" w:color="auto"/>
        <w:right w:val="none" w:sz="0" w:space="0" w:color="auto"/>
      </w:divBdr>
    </w:div>
    <w:div w:id="647634679">
      <w:bodyDiv w:val="1"/>
      <w:marLeft w:val="0"/>
      <w:marRight w:val="0"/>
      <w:marTop w:val="0"/>
      <w:marBottom w:val="0"/>
      <w:divBdr>
        <w:top w:val="none" w:sz="0" w:space="0" w:color="auto"/>
        <w:left w:val="none" w:sz="0" w:space="0" w:color="auto"/>
        <w:bottom w:val="none" w:sz="0" w:space="0" w:color="auto"/>
        <w:right w:val="none" w:sz="0" w:space="0" w:color="auto"/>
      </w:divBdr>
    </w:div>
    <w:div w:id="908266497">
      <w:bodyDiv w:val="1"/>
      <w:marLeft w:val="0"/>
      <w:marRight w:val="0"/>
      <w:marTop w:val="0"/>
      <w:marBottom w:val="0"/>
      <w:divBdr>
        <w:top w:val="none" w:sz="0" w:space="0" w:color="auto"/>
        <w:left w:val="none" w:sz="0" w:space="0" w:color="auto"/>
        <w:bottom w:val="none" w:sz="0" w:space="0" w:color="auto"/>
        <w:right w:val="none" w:sz="0" w:space="0" w:color="auto"/>
      </w:divBdr>
    </w:div>
    <w:div w:id="1025208588">
      <w:bodyDiv w:val="1"/>
      <w:marLeft w:val="0"/>
      <w:marRight w:val="0"/>
      <w:marTop w:val="0"/>
      <w:marBottom w:val="0"/>
      <w:divBdr>
        <w:top w:val="none" w:sz="0" w:space="0" w:color="auto"/>
        <w:left w:val="none" w:sz="0" w:space="0" w:color="auto"/>
        <w:bottom w:val="none" w:sz="0" w:space="0" w:color="auto"/>
        <w:right w:val="none" w:sz="0" w:space="0" w:color="auto"/>
      </w:divBdr>
    </w:div>
    <w:div w:id="12648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w/air-qu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rsetcouncil.gov.uk/environmental-health/pollution/air-quality-in-chideock.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orsetcouncil.gov.uk/w/air-quality" TargetMode="External"/><Relationship Id="rId11" Type="http://schemas.openxmlformats.org/officeDocument/2006/relationships/image" Target="media/image2.png"/><Relationship Id="rId5" Type="http://schemas.openxmlformats.org/officeDocument/2006/relationships/hyperlink" Target="https://www.dorsetcouncil.gov.uk/environmental-health/pollution/air-quality-in-dorchester.aspx" TargetMode="External"/><Relationship Id="rId10" Type="http://schemas.openxmlformats.org/officeDocument/2006/relationships/image" Target="media/image1.png"/><Relationship Id="rId4" Type="http://schemas.openxmlformats.org/officeDocument/2006/relationships/hyperlink" Target="https://www.dorsetcouncil.gov.uk/environmental-health/pollution/air-quality-in-dorchester.aspx" TargetMode="External"/><Relationship Id="rId9" Type="http://schemas.openxmlformats.org/officeDocument/2006/relationships/hyperlink" Target="https://laqm.defra.gov.uk/wp-content/uploads/2023/11/LAQM-Policy-Guidance-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Naraine</dc:creator>
  <cp:keywords/>
  <dc:description/>
  <cp:lastModifiedBy>Darren Naraine</cp:lastModifiedBy>
  <cp:revision>2</cp:revision>
  <cp:lastPrinted>2025-02-11T15:45:00Z</cp:lastPrinted>
  <dcterms:created xsi:type="dcterms:W3CDTF">2025-02-12T16:07:00Z</dcterms:created>
  <dcterms:modified xsi:type="dcterms:W3CDTF">2025-02-12T16:07:00Z</dcterms:modified>
</cp:coreProperties>
</file>