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13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 Public Consultation </w:t>
      </w:r>
      <w:r w:rsidRPr="006B4D13">
        <w:rPr>
          <w:rFonts w:ascii="Arial" w:hAnsi="Arial" w:cs="Arial"/>
        </w:rPr>
        <w:t>State Aid update</w:t>
      </w:r>
    </w:p>
    <w:p w:rsidR="006B4D13" w:rsidRDefault="006B4D13" w:rsidP="006B4D13">
      <w:pPr>
        <w:rPr>
          <w:rFonts w:ascii="Arial" w:hAnsi="Arial" w:cs="Arial"/>
        </w:rPr>
      </w:pPr>
    </w:p>
    <w:p w:rsidR="006B4D13" w:rsidRPr="006B4D13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Pr="006B4D13">
        <w:rPr>
          <w:rFonts w:ascii="Arial" w:hAnsi="Arial" w:cs="Arial"/>
        </w:rPr>
        <w:t xml:space="preserve">Superfast Dorset </w:t>
      </w:r>
    </w:p>
    <w:p w:rsidR="006B4D13" w:rsidRDefault="006B4D13" w:rsidP="006B4D13">
      <w:pPr>
        <w:rPr>
          <w:rFonts w:ascii="Arial" w:hAnsi="Arial" w:cs="Arial"/>
        </w:rPr>
      </w:pPr>
    </w:p>
    <w:p w:rsidR="006B4D13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 w:rsidR="00CC2A5B">
        <w:rPr>
          <w:rFonts w:ascii="Arial" w:hAnsi="Arial" w:cs="Arial"/>
        </w:rPr>
        <w:t xml:space="preserve">01 September </w:t>
      </w:r>
      <w:r>
        <w:rPr>
          <w:rFonts w:ascii="Arial" w:hAnsi="Arial" w:cs="Arial"/>
        </w:rPr>
        <w:t>2016</w:t>
      </w:r>
    </w:p>
    <w:p w:rsidR="006B4D13" w:rsidRDefault="006B4D13" w:rsidP="006B4D13">
      <w:pPr>
        <w:rPr>
          <w:rFonts w:ascii="Arial" w:hAnsi="Arial" w:cs="Arial"/>
        </w:rPr>
      </w:pPr>
    </w:p>
    <w:p w:rsidR="006B4D13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>Superfast Dorset published its Public Consultation on 22 July 2016 and ran it for one calendar month.  It was placed on the Superfast Dorset website</w:t>
      </w:r>
      <w:r w:rsidR="00A97E56">
        <w:rPr>
          <w:rFonts w:ascii="Arial" w:hAnsi="Arial" w:cs="Arial"/>
        </w:rPr>
        <w:t>, BDUK website</w:t>
      </w:r>
      <w:r>
        <w:rPr>
          <w:rFonts w:ascii="Arial" w:hAnsi="Arial" w:cs="Arial"/>
        </w:rPr>
        <w:t xml:space="preserve"> and directly emailed to all suppliers engaged with through a long period of supplier engagement.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6B4D13" w:rsidRDefault="006B4D13" w:rsidP="006B4D13">
      <w:pPr>
        <w:rPr>
          <w:rFonts w:ascii="Arial" w:hAnsi="Arial" w:cs="Arial"/>
        </w:rPr>
      </w:pPr>
    </w:p>
    <w:p w:rsidR="006B4D13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>Within section 4 (page 8) of the Public Consultation a summary of premise status was published as below:</w:t>
      </w:r>
    </w:p>
    <w:p w:rsidR="006B4D13" w:rsidRDefault="006B4D13" w:rsidP="006B4D13">
      <w:pPr>
        <w:rPr>
          <w:rFonts w:ascii="Arial" w:hAnsi="Arial" w:cs="Arial"/>
        </w:rPr>
      </w:pPr>
    </w:p>
    <w:tbl>
      <w:tblPr>
        <w:tblW w:w="8647" w:type="dxa"/>
        <w:tblInd w:w="885" w:type="dxa"/>
        <w:tblLook w:val="04A0" w:firstRow="1" w:lastRow="0" w:firstColumn="1" w:lastColumn="0" w:noHBand="0" w:noVBand="1"/>
      </w:tblPr>
      <w:tblGrid>
        <w:gridCol w:w="1525"/>
        <w:gridCol w:w="1227"/>
        <w:gridCol w:w="1366"/>
        <w:gridCol w:w="1418"/>
        <w:gridCol w:w="1559"/>
        <w:gridCol w:w="1701"/>
      </w:tblGrid>
      <w:tr w:rsidR="006B4D13" w:rsidRPr="00346E8B" w:rsidTr="00FC0691">
        <w:trPr>
          <w:trHeight w:val="6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Postcodes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Black Premises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Grey Premises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White Premises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Under Review Premises</w:t>
            </w:r>
          </w:p>
        </w:tc>
      </w:tr>
      <w:tr w:rsidR="006B4D13" w:rsidRPr="00346E8B" w:rsidTr="00FC0691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1778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5381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12360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454</w:t>
            </w:r>
          </w:p>
        </w:tc>
      </w:tr>
      <w:tr w:rsidR="006B4D13" w:rsidRPr="00346E8B" w:rsidTr="00FC0691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Grey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13320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4082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217014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 w:rsidR="006B4D13" w:rsidRPr="00346E8B" w:rsidTr="00FC0691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Black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6007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143298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4D13" w:rsidRPr="00346E8B" w:rsidTr="00FC0691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Under Review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2498</w:t>
            </w:r>
          </w:p>
        </w:tc>
      </w:tr>
      <w:tr w:rsidR="006B4D13" w:rsidRPr="00346E8B" w:rsidTr="00FC0691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6E8B"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21287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148738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222665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B87943" w:rsidRDefault="006B4D13" w:rsidP="00FC069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87943">
              <w:rPr>
                <w:rFonts w:eastAsia="Times New Roman"/>
                <w:b/>
                <w:sz w:val="24"/>
                <w:szCs w:val="24"/>
              </w:rPr>
              <w:t>13563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D13" w:rsidRPr="00346E8B" w:rsidRDefault="006B4D13" w:rsidP="00FC0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6E8B">
              <w:rPr>
                <w:rFonts w:eastAsia="Times New Roman"/>
                <w:sz w:val="24"/>
                <w:szCs w:val="24"/>
              </w:rPr>
              <w:t>3025</w:t>
            </w:r>
          </w:p>
        </w:tc>
      </w:tr>
    </w:tbl>
    <w:p w:rsidR="006B4D13" w:rsidRDefault="006B4D13" w:rsidP="006B4D13">
      <w:pPr>
        <w:rPr>
          <w:rFonts w:ascii="Arial" w:hAnsi="Arial" w:cs="Arial"/>
        </w:rPr>
      </w:pPr>
    </w:p>
    <w:p w:rsidR="006B4D13" w:rsidRPr="006B4D13" w:rsidRDefault="006B4D13" w:rsidP="006B4D13">
      <w:pPr>
        <w:rPr>
          <w:rFonts w:ascii="Arial" w:hAnsi="Arial" w:cs="Arial"/>
          <w:b/>
        </w:rPr>
      </w:pPr>
      <w:r w:rsidRPr="006B4D13">
        <w:rPr>
          <w:rFonts w:ascii="Arial" w:hAnsi="Arial" w:cs="Arial"/>
          <w:b/>
        </w:rPr>
        <w:t>Summary of change</w:t>
      </w:r>
    </w:p>
    <w:p w:rsidR="006B4D13" w:rsidRDefault="006B4D13" w:rsidP="006B4D13">
      <w:pPr>
        <w:rPr>
          <w:rFonts w:ascii="Arial" w:hAnsi="Arial" w:cs="Arial"/>
        </w:rPr>
      </w:pPr>
    </w:p>
    <w:p w:rsidR="00216BD0" w:rsidRDefault="006B4D13" w:rsidP="006B4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Throughout the Public Consultation period the Superfast Dorset project team carried out a data validation exercise on premises identified as ‘white’ </w:t>
      </w:r>
      <w:r w:rsidR="00216BD0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>above</w:t>
      </w:r>
      <w:r w:rsidR="00216BD0">
        <w:rPr>
          <w:rFonts w:ascii="Arial" w:hAnsi="Arial" w:cs="Arial"/>
        </w:rPr>
        <w:t xml:space="preserve"> table</w:t>
      </w:r>
      <w:r>
        <w:rPr>
          <w:rFonts w:ascii="Arial" w:hAnsi="Arial" w:cs="Arial"/>
        </w:rPr>
        <w:t>.</w:t>
      </w:r>
    </w:p>
    <w:p w:rsidR="00216BD0" w:rsidRDefault="00216BD0" w:rsidP="006B4D13">
      <w:pPr>
        <w:rPr>
          <w:rFonts w:ascii="Arial" w:hAnsi="Arial" w:cs="Arial"/>
        </w:rPr>
      </w:pPr>
    </w:p>
    <w:p w:rsidR="00216BD0" w:rsidRDefault="00216BD0" w:rsidP="006B4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Superfast Dorset received only one response to the consultation, Virgin Media submitted a response on 22 August claiming additional coverage in line with publicly announced ‘Supercharging your community’ network expansion.  </w:t>
      </w:r>
      <w:r w:rsidR="006B4D13">
        <w:rPr>
          <w:rFonts w:ascii="Arial" w:hAnsi="Arial" w:cs="Arial"/>
        </w:rPr>
        <w:t xml:space="preserve"> </w:t>
      </w:r>
    </w:p>
    <w:p w:rsidR="00216BD0" w:rsidRDefault="00216BD0" w:rsidP="00216BD0">
      <w:pPr>
        <w:rPr>
          <w:rFonts w:ascii="Arial" w:hAnsi="Arial" w:cs="Arial"/>
        </w:rPr>
      </w:pPr>
    </w:p>
    <w:p w:rsidR="00216BD0" w:rsidRDefault="00FA78CE" w:rsidP="00216BD0">
      <w:pPr>
        <w:rPr>
          <w:rFonts w:ascii="Arial" w:hAnsi="Arial" w:cs="Arial"/>
        </w:rPr>
      </w:pPr>
      <w:r>
        <w:rPr>
          <w:rFonts w:ascii="Arial" w:hAnsi="Arial" w:cs="Arial"/>
        </w:rPr>
        <w:t>The them</w:t>
      </w:r>
      <w:r w:rsidR="005F1773">
        <w:rPr>
          <w:rFonts w:ascii="Arial" w:hAnsi="Arial" w:cs="Arial"/>
        </w:rPr>
        <w:t>es affecting the data and the volume of their impacts are summarised below:</w:t>
      </w:r>
    </w:p>
    <w:p w:rsidR="00FA78CE" w:rsidRDefault="00FA78CE" w:rsidP="00216BD0">
      <w:pPr>
        <w:rPr>
          <w:rFonts w:ascii="Arial" w:hAnsi="Arial" w:cs="Arial"/>
        </w:rPr>
      </w:pPr>
    </w:p>
    <w:tbl>
      <w:tblPr>
        <w:tblW w:w="5200" w:type="dxa"/>
        <w:tblInd w:w="93" w:type="dxa"/>
        <w:tblLook w:val="04A0" w:firstRow="1" w:lastRow="0" w:firstColumn="1" w:lastColumn="0" w:noHBand="0" w:noVBand="1"/>
      </w:tblPr>
      <w:tblGrid>
        <w:gridCol w:w="4240"/>
        <w:gridCol w:w="960"/>
      </w:tblGrid>
      <w:tr w:rsidR="00CC2A5B" w:rsidRPr="00CC2A5B" w:rsidTr="00CC2A5B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A5B" w:rsidRPr="00CC2A5B" w:rsidRDefault="00CC2A5B" w:rsidP="00CC2A5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t>Removed from IA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C2A5B" w:rsidRPr="00CC2A5B" w:rsidTr="00CC2A5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667631">
            <w:pPr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 xml:space="preserve">Incorrectly shown in </w:t>
            </w:r>
            <w:r w:rsidR="00667631">
              <w:rPr>
                <w:rFonts w:eastAsia="Times New Roman"/>
                <w:color w:val="000000"/>
                <w:lang w:eastAsia="en-GB"/>
              </w:rPr>
              <w:t xml:space="preserve">suppliers OMR </w:t>
            </w:r>
            <w:r w:rsidRPr="00CC2A5B">
              <w:rPr>
                <w:rFonts w:eastAsia="Times New Roman"/>
                <w:color w:val="000000"/>
                <w:lang w:eastAsia="en-GB"/>
              </w:rPr>
              <w:t>data as sub superfast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269</w:t>
            </w:r>
          </w:p>
        </w:tc>
      </w:tr>
      <w:tr w:rsidR="00CC2A5B" w:rsidRPr="00CC2A5B" w:rsidTr="00CC2A5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667631" w:rsidP="00CC2A5B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On-going supplier</w:t>
            </w:r>
            <w:r w:rsidR="00CC2A5B" w:rsidRPr="00CC2A5B">
              <w:rPr>
                <w:rFonts w:eastAsia="Times New Roman"/>
                <w:color w:val="000000"/>
                <w:lang w:eastAsia="en-GB"/>
              </w:rPr>
              <w:t xml:space="preserve"> work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44</w:t>
            </w:r>
          </w:p>
        </w:tc>
      </w:tr>
      <w:tr w:rsidR="00CC2A5B" w:rsidRPr="00CC2A5B" w:rsidTr="00CC2A5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667631">
            <w:pPr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 xml:space="preserve">Served by </w:t>
            </w:r>
            <w:r w:rsidR="00667631">
              <w:rPr>
                <w:rFonts w:eastAsia="Times New Roman"/>
                <w:color w:val="000000"/>
                <w:lang w:eastAsia="en-GB"/>
              </w:rPr>
              <w:t>an NGA supplier not provided in OMR response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667631" w:rsidP="00CC2A5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340</w:t>
            </w:r>
          </w:p>
        </w:tc>
      </w:tr>
      <w:tr w:rsidR="00CC2A5B" w:rsidRPr="00CC2A5B" w:rsidTr="00CC2A5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667631" w:rsidP="00CC2A5B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Additional Superfast Dorset coverage – Gainshare confirmed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1061</w:t>
            </w:r>
          </w:p>
        </w:tc>
      </w:tr>
      <w:tr w:rsidR="00CC2A5B" w:rsidRPr="00CC2A5B" w:rsidTr="00CC2A5B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t>1714</w:t>
            </w:r>
          </w:p>
        </w:tc>
      </w:tr>
      <w:tr w:rsidR="00CC2A5B" w:rsidRPr="00CC2A5B" w:rsidTr="00CC2A5B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</w:p>
          <w:p w:rsid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</w:p>
          <w:p w:rsidR="00CC2A5B" w:rsidRP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C2A5B" w:rsidRPr="00CC2A5B" w:rsidTr="00CC2A5B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A5B" w:rsidRPr="00CC2A5B" w:rsidRDefault="00CC2A5B" w:rsidP="00CC2A5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Added to IA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A5B" w:rsidRP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C2A5B" w:rsidRPr="00CC2A5B" w:rsidTr="00CC2A5B">
        <w:trPr>
          <w:trHeight w:val="6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A5B" w:rsidRPr="00CC2A5B" w:rsidRDefault="00667631" w:rsidP="0066763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Amendment to Superfast Dorset </w:t>
            </w:r>
            <w:r w:rsidR="00CC2A5B" w:rsidRPr="00CC2A5B">
              <w:rPr>
                <w:rFonts w:eastAsia="Times New Roman"/>
                <w:color w:val="000000"/>
                <w:lang w:eastAsia="en-GB"/>
              </w:rPr>
              <w:t xml:space="preserve"> Contract 2 deployment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5B" w:rsidRPr="00CC2A5B" w:rsidRDefault="00CC2A5B" w:rsidP="00CC2A5B">
            <w:pPr>
              <w:rPr>
                <w:rFonts w:eastAsia="Times New Roman"/>
                <w:color w:val="000000"/>
                <w:lang w:eastAsia="en-GB"/>
              </w:rPr>
            </w:pPr>
            <w:r w:rsidRPr="00CC2A5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C2A5B" w:rsidRPr="00CC2A5B" w:rsidTr="00CC2A5B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A5B" w:rsidRPr="00CC2A5B" w:rsidRDefault="00CC2A5B" w:rsidP="00CC2A5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A5B" w:rsidRPr="00CC2A5B" w:rsidRDefault="00CC2A5B" w:rsidP="00CC2A5B">
            <w:pPr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C2A5B">
              <w:rPr>
                <w:rFonts w:eastAsia="Times New Roman"/>
                <w:b/>
                <w:bCs/>
                <w:color w:val="000000"/>
                <w:lang w:eastAsia="en-GB"/>
              </w:rPr>
              <w:t>216</w:t>
            </w:r>
          </w:p>
        </w:tc>
      </w:tr>
    </w:tbl>
    <w:p w:rsidR="00FA78CE" w:rsidRDefault="00FA78CE" w:rsidP="00216BD0">
      <w:pPr>
        <w:rPr>
          <w:rFonts w:ascii="Arial" w:hAnsi="Arial" w:cs="Arial"/>
        </w:rPr>
      </w:pPr>
    </w:p>
    <w:p w:rsidR="006B4D13" w:rsidRDefault="00216BD0" w:rsidP="00216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themes altered the </w:t>
      </w:r>
      <w:r w:rsidR="00CC2A5B">
        <w:rPr>
          <w:rFonts w:ascii="Arial" w:hAnsi="Arial" w:cs="Arial"/>
        </w:rPr>
        <w:t xml:space="preserve">State Aid </w:t>
      </w:r>
      <w:r>
        <w:rPr>
          <w:rFonts w:ascii="Arial" w:hAnsi="Arial" w:cs="Arial"/>
        </w:rPr>
        <w:t>definition of premises as follows</w:t>
      </w:r>
      <w:r w:rsidR="005F177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64414" w:rsidRDefault="00364414" w:rsidP="00216BD0">
      <w:pPr>
        <w:rPr>
          <w:rFonts w:ascii="Arial" w:hAnsi="Arial" w:cs="Arial"/>
        </w:rPr>
      </w:pPr>
    </w:p>
    <w:tbl>
      <w:tblPr>
        <w:tblW w:w="8647" w:type="dxa"/>
        <w:tblInd w:w="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27"/>
        <w:gridCol w:w="1366"/>
        <w:gridCol w:w="1418"/>
        <w:gridCol w:w="1559"/>
        <w:gridCol w:w="1701"/>
      </w:tblGrid>
      <w:tr w:rsidR="00364414" w:rsidTr="00364414">
        <w:trPr>
          <w:trHeight w:val="6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Postcodes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Black Premises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Grey Premises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White Premises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Review Premises</w:t>
            </w:r>
          </w:p>
        </w:tc>
      </w:tr>
      <w:tr w:rsidR="00364414" w:rsidTr="00364414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364414" w:rsidTr="00364414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</w:tr>
      <w:tr w:rsidR="00364414" w:rsidTr="00364414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Black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4414" w:rsidTr="00364414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Review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</w:t>
            </w:r>
          </w:p>
        </w:tc>
      </w:tr>
      <w:tr w:rsidR="00364414" w:rsidTr="00364414">
        <w:trPr>
          <w:trHeight w:val="33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414" w:rsidRDefault="00364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</w:t>
            </w:r>
          </w:p>
        </w:tc>
      </w:tr>
    </w:tbl>
    <w:p w:rsidR="005F1773" w:rsidRDefault="005F1773" w:rsidP="00216BD0">
      <w:pPr>
        <w:rPr>
          <w:rFonts w:ascii="Arial" w:hAnsi="Arial" w:cs="Arial"/>
        </w:rPr>
      </w:pPr>
    </w:p>
    <w:p w:rsidR="005F1773" w:rsidRPr="00216BD0" w:rsidRDefault="005F1773" w:rsidP="00216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Attached to this summary is a revised White, Grey and Black map with an updated white postcode list. </w:t>
      </w:r>
    </w:p>
    <w:sectPr w:rsidR="005F1773" w:rsidRPr="00216B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BC" w:rsidRDefault="00845DBC" w:rsidP="00845DBC">
      <w:r>
        <w:separator/>
      </w:r>
    </w:p>
  </w:endnote>
  <w:endnote w:type="continuationSeparator" w:id="0">
    <w:p w:rsidR="00845DBC" w:rsidRDefault="00845DBC" w:rsidP="0084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66" w:rsidRDefault="009B7166">
    <w:pPr>
      <w:pStyle w:val="Footer"/>
    </w:pPr>
    <w:r>
      <w:t xml:space="preserve">Superfast Dorset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BC" w:rsidRDefault="00845DBC" w:rsidP="00845DBC">
      <w:r>
        <w:separator/>
      </w:r>
    </w:p>
  </w:footnote>
  <w:footnote w:type="continuationSeparator" w:id="0">
    <w:p w:rsidR="00845DBC" w:rsidRDefault="00845DBC" w:rsidP="0084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66" w:rsidRDefault="009B7166" w:rsidP="009B7166">
    <w:pPr>
      <w:pStyle w:val="Header"/>
      <w:jc w:val="center"/>
    </w:pPr>
    <w:r w:rsidRPr="00605A8B">
      <w:rPr>
        <w:b/>
        <w:noProof/>
        <w:color w:val="4F81BD"/>
        <w:sz w:val="56"/>
        <w:lang w:eastAsia="en-GB"/>
      </w:rPr>
      <w:drawing>
        <wp:inline distT="0" distB="0" distL="0" distR="0" wp14:anchorId="0F20DC65" wp14:editId="7AB3D45F">
          <wp:extent cx="2822575" cy="1383665"/>
          <wp:effectExtent l="0" t="0" r="0" b="6985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BC"/>
    <w:rsid w:val="00033A24"/>
    <w:rsid w:val="00050535"/>
    <w:rsid w:val="00216BD0"/>
    <w:rsid w:val="00364414"/>
    <w:rsid w:val="005F1773"/>
    <w:rsid w:val="00667631"/>
    <w:rsid w:val="006B4D13"/>
    <w:rsid w:val="00845DBC"/>
    <w:rsid w:val="009B7166"/>
    <w:rsid w:val="009C7E24"/>
    <w:rsid w:val="00A153B4"/>
    <w:rsid w:val="00A919A2"/>
    <w:rsid w:val="00A97E56"/>
    <w:rsid w:val="00CC2A5B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DB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DBC"/>
    <w:pPr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DBC"/>
    <w:rPr>
      <w:rFonts w:ascii="Arial" w:hAnsi="Arial" w:cs="Arial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D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7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7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6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DB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DBC"/>
    <w:pPr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DBC"/>
    <w:rPr>
      <w:rFonts w:ascii="Arial" w:hAnsi="Arial" w:cs="Arial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D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7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7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6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DCC</cp:lastModifiedBy>
  <cp:revision>2</cp:revision>
  <cp:lastPrinted>2016-08-30T13:23:00Z</cp:lastPrinted>
  <dcterms:created xsi:type="dcterms:W3CDTF">2016-09-13T09:44:00Z</dcterms:created>
  <dcterms:modified xsi:type="dcterms:W3CDTF">2016-09-13T09:44:00Z</dcterms:modified>
</cp:coreProperties>
</file>